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83FC" w14:textId="77777777" w:rsidR="00172383" w:rsidRDefault="000D454F">
      <w:r>
        <w:rPr>
          <w:noProof/>
        </w:rPr>
        <mc:AlternateContent>
          <mc:Choice Requires="wpg">
            <w:drawing>
              <wp:anchor distT="0" distB="0" distL="114300" distR="114300" simplePos="0" relativeHeight="251658240" behindDoc="0" locked="0" layoutInCell="1" allowOverlap="1" wp14:anchorId="676325D2" wp14:editId="7A2D5BFB">
                <wp:simplePos x="0" y="0"/>
                <wp:positionH relativeFrom="column">
                  <wp:posOffset>-15552</wp:posOffset>
                </wp:positionH>
                <wp:positionV relativeFrom="paragraph">
                  <wp:posOffset>-211164</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92D050"/>
                        </a:solidFill>
                      </wpg:grpSpPr>
                      <wps:wsp>
                        <wps:cNvPr id="986778958" name="Afgeronde rechthoek 2"/>
                        <wps:cNvSpPr/>
                        <wps:spPr>
                          <a:xfrm>
                            <a:off x="961813" y="291253"/>
                            <a:ext cx="5243830" cy="60706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grp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961748" y="338621"/>
                            <a:ext cx="5176170" cy="445626"/>
                          </a:xfrm>
                          <a:prstGeom prst="rect">
                            <a:avLst/>
                          </a:prstGeom>
                          <a:grpFill/>
                          <a:ln w="6350">
                            <a:noFill/>
                          </a:ln>
                        </wps:spPr>
                        <wps:txbx>
                          <w:txbxContent>
                            <w:p w14:paraId="5ED2D119" w14:textId="54B117BD" w:rsidR="00D00151" w:rsidRPr="00E153A8" w:rsidRDefault="003F3D5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 xml:space="preserve">Medewerker </w:t>
                              </w:r>
                              <w:r w:rsidR="001B20A4">
                                <w:rPr>
                                  <w:rFonts w:ascii="Century Gothic" w:hAnsi="Century Gothic" w:cs="Tunga"/>
                                  <w:color w:val="FFFFFF" w:themeColor="background1"/>
                                  <w:sz w:val="40"/>
                                  <w:szCs w:val="40"/>
                                </w:rPr>
                                <w:t>debit</w:t>
                              </w:r>
                              <w:r>
                                <w:rPr>
                                  <w:rFonts w:ascii="Century Gothic" w:hAnsi="Century Gothic" w:cs="Tunga"/>
                                  <w:color w:val="FFFFFF" w:themeColor="background1"/>
                                  <w:sz w:val="40"/>
                                  <w:szCs w:val="40"/>
                                </w:rPr>
                                <w:t>eurenadministratie</w:t>
                              </w:r>
                              <w:r w:rsidR="00C8696B">
                                <w:rPr>
                                  <w:rFonts w:ascii="Century Gothic" w:hAnsi="Century Gothic" w:cs="Tunga"/>
                                  <w:color w:val="FFFFFF" w:themeColor="background1"/>
                                  <w:sz w:val="40"/>
                                  <w:szCs w:val="40"/>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76325D2" id="Groep 9" o:spid="_x0000_s1026" style="position:absolute;margin-left:-1.2pt;margin-top:-16.65pt;width:488.65pt;height:91.45pt;z-index:251658240;mso-width-relative:margin"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" filled="f"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" filled="f"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9617;top:3386;width:51762;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" filled="f" stroked="f" strokeweight=".5pt">
                  <v:textbox>
                    <w:txbxContent>
                      <w:p w14:paraId="5ED2D119" w14:textId="54B117BD" w:rsidR="00D00151" w:rsidRPr="00E153A8" w:rsidRDefault="003F3D5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 xml:space="preserve">Medewerker </w:t>
                        </w:r>
                        <w:r w:rsidR="001B20A4">
                          <w:rPr>
                            <w:rFonts w:ascii="Century Gothic" w:hAnsi="Century Gothic" w:cs="Tunga"/>
                            <w:color w:val="FFFFFF" w:themeColor="background1"/>
                            <w:sz w:val="40"/>
                            <w:szCs w:val="40"/>
                          </w:rPr>
                          <w:t>debit</w:t>
                        </w:r>
                        <w:r>
                          <w:rPr>
                            <w:rFonts w:ascii="Century Gothic" w:hAnsi="Century Gothic" w:cs="Tunga"/>
                            <w:color w:val="FFFFFF" w:themeColor="background1"/>
                            <w:sz w:val="40"/>
                            <w:szCs w:val="40"/>
                          </w:rPr>
                          <w:t>eurenadministratie</w:t>
                        </w:r>
                        <w:r w:rsidR="00C8696B">
                          <w:rPr>
                            <w:rFonts w:ascii="Century Gothic" w:hAnsi="Century Gothic" w:cs="Tunga"/>
                            <w:color w:val="FFFFFF" w:themeColor="background1"/>
                            <w:sz w:val="40"/>
                            <w:szCs w:val="40"/>
                          </w:rPr>
                          <w:t xml:space="preserve"> II</w:t>
                        </w:r>
                      </w:p>
                    </w:txbxContent>
                  </v:textbox>
                </v:shape>
              </v:group>
            </w:pict>
          </mc:Fallback>
        </mc:AlternateContent>
      </w:r>
    </w:p>
    <w:p w14:paraId="75971FB4" w14:textId="77777777" w:rsidR="004F1D38" w:rsidRDefault="004F1D38"/>
    <w:p w14:paraId="41A82F55" w14:textId="77777777" w:rsidR="004F1D38" w:rsidRDefault="004F1D38"/>
    <w:p w14:paraId="6C2C9BC7" w14:textId="77777777" w:rsidR="00FC07E2" w:rsidRDefault="00FC07E2"/>
    <w:p w14:paraId="06612193" w14:textId="77777777" w:rsidR="00FC07E2" w:rsidRDefault="00FC07E2"/>
    <w:p w14:paraId="5751B6AE" w14:textId="77777777" w:rsidR="00FC07E2" w:rsidRDefault="00FC07E2"/>
    <w:p w14:paraId="74DA067A" w14:textId="77777777" w:rsidR="00FC07E2" w:rsidRDefault="00FC07E2"/>
    <w:p w14:paraId="6B376B48" w14:textId="77777777" w:rsidR="000B3D79" w:rsidRDefault="000B3D79"/>
    <w:p w14:paraId="481B97D3" w14:textId="77777777" w:rsidR="004F1D38" w:rsidRDefault="004F1D38"/>
    <w:tbl>
      <w:tblPr>
        <w:tblStyle w:val="Tabelraster"/>
        <w:tblW w:w="9781" w:type="dxa"/>
        <w:tblLook w:val="04A0" w:firstRow="1" w:lastRow="0" w:firstColumn="1" w:lastColumn="0" w:noHBand="0" w:noVBand="1"/>
      </w:tblPr>
      <w:tblGrid>
        <w:gridCol w:w="4668"/>
        <w:gridCol w:w="5113"/>
      </w:tblGrid>
      <w:tr w:rsidR="00E02A4F" w14:paraId="3ADF8790" w14:textId="77777777" w:rsidTr="00E02A4F">
        <w:trPr>
          <w:trHeight w:val="851"/>
        </w:trPr>
        <w:tc>
          <w:tcPr>
            <w:tcW w:w="9781" w:type="dxa"/>
            <w:gridSpan w:val="2"/>
            <w:tcBorders>
              <w:top w:val="nil"/>
              <w:left w:val="nil"/>
              <w:bottom w:val="single" w:sz="4" w:space="0" w:color="auto"/>
              <w:right w:val="nil"/>
            </w:tcBorders>
          </w:tcPr>
          <w:p w14:paraId="659C5E6E" w14:textId="77777777" w:rsidR="00E743C2" w:rsidRDefault="00D64963">
            <w:r>
              <w:rPr>
                <w:noProof/>
              </w:rPr>
              <mc:AlternateContent>
                <mc:Choice Requires="wps">
                  <w:drawing>
                    <wp:anchor distT="0" distB="0" distL="114300" distR="114300" simplePos="0" relativeHeight="251658241" behindDoc="1" locked="0" layoutInCell="1" allowOverlap="1" wp14:anchorId="09EACA5E" wp14:editId="55D8D073">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D9920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ACA5E" id="Afgeronde rechthoek 2" o:spid="_x0000_s1031"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" fillcolor="#92d050" stroked="f" strokeweight="1pt">
                      <v:stroke joinstyle="miter"/>
                      <v:textbox>
                        <w:txbxContent>
                          <w:p w14:paraId="6ED9920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820D61" w14:paraId="4106FE70" w14:textId="77777777" w:rsidTr="00E02A4F">
        <w:tc>
          <w:tcPr>
            <w:tcW w:w="9781" w:type="dxa"/>
            <w:gridSpan w:val="2"/>
            <w:tcBorders>
              <w:top w:val="single" w:sz="4" w:space="0" w:color="auto"/>
              <w:bottom w:val="single" w:sz="4" w:space="0" w:color="auto"/>
            </w:tcBorders>
            <w:tcMar>
              <w:top w:w="28" w:type="dxa"/>
              <w:bottom w:w="28" w:type="dxa"/>
            </w:tcMar>
          </w:tcPr>
          <w:p w14:paraId="0DD50AAB" w14:textId="38E805C3" w:rsidR="008D2C8F" w:rsidRPr="00820D61" w:rsidRDefault="003E412D" w:rsidP="00A06998">
            <w:pPr>
              <w:spacing w:line="240" w:lineRule="auto"/>
              <w:contextualSpacing/>
              <w:rPr>
                <w:b/>
                <w:bCs/>
                <w:sz w:val="18"/>
                <w:szCs w:val="18"/>
              </w:rPr>
            </w:pPr>
            <w:r w:rsidRPr="00A06998">
              <w:rPr>
                <w:sz w:val="18"/>
                <w:szCs w:val="18"/>
              </w:rPr>
              <w:t xml:space="preserve">De functie van </w:t>
            </w:r>
            <w:r w:rsidRPr="00A06998">
              <w:rPr>
                <w:b/>
                <w:bCs/>
                <w:sz w:val="18"/>
                <w:szCs w:val="18"/>
              </w:rPr>
              <w:t>medewerker debiteurenadministratie</w:t>
            </w:r>
            <w:r w:rsidR="00C8696B" w:rsidRPr="00A06998">
              <w:rPr>
                <w:b/>
                <w:bCs/>
                <w:sz w:val="18"/>
                <w:szCs w:val="18"/>
              </w:rPr>
              <w:t xml:space="preserve"> II</w:t>
            </w:r>
            <w:r w:rsidRPr="00A06998">
              <w:rPr>
                <w:sz w:val="18"/>
                <w:szCs w:val="18"/>
              </w:rPr>
              <w:t xml:space="preserve"> komt vooral voor in het grotere hotel-/congres</w:t>
            </w:r>
            <w:r w:rsidR="00AE00AD" w:rsidRPr="00A06998">
              <w:rPr>
                <w:sz w:val="18"/>
                <w:szCs w:val="18"/>
              </w:rPr>
              <w:t>-</w:t>
            </w:r>
            <w:r w:rsidRPr="00A06998">
              <w:rPr>
                <w:sz w:val="18"/>
                <w:szCs w:val="18"/>
              </w:rPr>
              <w:t xml:space="preserve">bedrijf dat zich vooral ook richt op de zakelijke markt. De functie is gesitueerd in een relatief grote afdeling die de volledige financiële administratie verzorgt en waar het administratiewerk in verschillende functies is ondergebracht. De medewerker debiteurenadministratie </w:t>
            </w:r>
            <w:r w:rsidR="00DC55D9" w:rsidRPr="00A06998">
              <w:rPr>
                <w:sz w:val="18"/>
                <w:szCs w:val="18"/>
              </w:rPr>
              <w:t xml:space="preserve">II </w:t>
            </w:r>
            <w:r w:rsidRPr="00A06998">
              <w:rPr>
                <w:sz w:val="18"/>
                <w:szCs w:val="18"/>
              </w:rPr>
              <w:t xml:space="preserve">is verantwoordelijk voor de administratieve verwerking van de </w:t>
            </w:r>
            <w:r w:rsidRPr="00A06998">
              <w:rPr>
                <w:b/>
                <w:bCs/>
                <w:sz w:val="18"/>
                <w:szCs w:val="18"/>
              </w:rPr>
              <w:t>facturenstroom en inkomende geldstroom</w:t>
            </w:r>
            <w:r w:rsidRPr="00A06998">
              <w:rPr>
                <w:sz w:val="18"/>
                <w:szCs w:val="18"/>
              </w:rPr>
              <w:t xml:space="preserve"> en de tijdige ontvangst van </w:t>
            </w:r>
            <w:r w:rsidRPr="00A06998">
              <w:rPr>
                <w:b/>
                <w:bCs/>
                <w:sz w:val="18"/>
                <w:szCs w:val="18"/>
              </w:rPr>
              <w:t>openstaande facturen</w:t>
            </w:r>
            <w:r w:rsidRPr="00A06998">
              <w:rPr>
                <w:sz w:val="18"/>
                <w:szCs w:val="18"/>
              </w:rPr>
              <w:t xml:space="preserve"> en het uitzoeken en oplossen van </w:t>
            </w:r>
            <w:r w:rsidRPr="00A06998">
              <w:rPr>
                <w:b/>
                <w:bCs/>
                <w:sz w:val="18"/>
                <w:szCs w:val="18"/>
              </w:rPr>
              <w:t>verschillen op basis van klantvragen</w:t>
            </w:r>
            <w:r w:rsidRPr="00A06998">
              <w:rPr>
                <w:sz w:val="18"/>
                <w:szCs w:val="18"/>
              </w:rPr>
              <w:t>.</w:t>
            </w:r>
            <w:r w:rsidR="00FA678F">
              <w:rPr>
                <w:sz w:val="18"/>
                <w:szCs w:val="18"/>
              </w:rPr>
              <w:t xml:space="preserve"> </w:t>
            </w:r>
            <w:r w:rsidR="00FA678F" w:rsidRPr="00BA163A">
              <w:rPr>
                <w:sz w:val="18"/>
                <w:szCs w:val="18"/>
              </w:rPr>
              <w:t>Functiehouder heeft een vakinhoudelijke leidinggevende.</w:t>
            </w:r>
          </w:p>
        </w:tc>
      </w:tr>
      <w:tr w:rsidR="00E02A4F" w:rsidRPr="00820D61" w14:paraId="1639261B" w14:textId="77777777" w:rsidTr="00E02A4F">
        <w:tc>
          <w:tcPr>
            <w:tcW w:w="9781" w:type="dxa"/>
            <w:gridSpan w:val="2"/>
            <w:tcBorders>
              <w:top w:val="single" w:sz="4" w:space="0" w:color="auto"/>
              <w:left w:val="nil"/>
              <w:bottom w:val="nil"/>
              <w:right w:val="nil"/>
            </w:tcBorders>
          </w:tcPr>
          <w:p w14:paraId="445BF0FE" w14:textId="77777777" w:rsidR="0089261F" w:rsidRPr="00820D61" w:rsidRDefault="0089261F" w:rsidP="0089261F">
            <w:pPr>
              <w:rPr>
                <w:sz w:val="18"/>
                <w:szCs w:val="18"/>
              </w:rPr>
            </w:pPr>
          </w:p>
        </w:tc>
      </w:tr>
      <w:tr w:rsidR="00E02A4F" w:rsidRPr="00820D61" w14:paraId="6996A526" w14:textId="77777777" w:rsidTr="00E02A4F">
        <w:trPr>
          <w:trHeight w:val="851"/>
        </w:trPr>
        <w:tc>
          <w:tcPr>
            <w:tcW w:w="9781" w:type="dxa"/>
            <w:gridSpan w:val="2"/>
            <w:tcBorders>
              <w:top w:val="nil"/>
              <w:left w:val="nil"/>
              <w:bottom w:val="single" w:sz="4" w:space="0" w:color="auto"/>
              <w:right w:val="nil"/>
            </w:tcBorders>
          </w:tcPr>
          <w:p w14:paraId="29778784" w14:textId="77777777" w:rsidR="00E743C2" w:rsidRPr="00820D61" w:rsidRDefault="00E743C2">
            <w:r>
              <w:rPr>
                <w:noProof/>
              </w:rPr>
              <mc:AlternateContent>
                <mc:Choice Requires="wps">
                  <w:drawing>
                    <wp:anchor distT="0" distB="0" distL="114300" distR="114300" simplePos="0" relativeHeight="251658242" behindDoc="1" locked="0" layoutInCell="1" allowOverlap="1" wp14:anchorId="46CB4CCB" wp14:editId="681A6967">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6FFB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B4CCB" id="_x0000_s1032"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" fillcolor="#92d050" stroked="f" strokeweight="1pt">
                      <v:stroke joinstyle="miter"/>
                      <v:textbox>
                        <w:txbxContent>
                          <w:p w14:paraId="39C6FFB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3C063EE2" w14:textId="77777777" w:rsidTr="00107930">
        <w:trPr>
          <w:trHeight w:val="227"/>
        </w:trPr>
        <w:tc>
          <w:tcPr>
            <w:tcW w:w="4668" w:type="dxa"/>
            <w:tcBorders>
              <w:top w:val="single" w:sz="4" w:space="0" w:color="auto"/>
            </w:tcBorders>
            <w:tcMar>
              <w:top w:w="57" w:type="dxa"/>
              <w:bottom w:w="57" w:type="dxa"/>
            </w:tcMar>
          </w:tcPr>
          <w:p w14:paraId="534A869C" w14:textId="77777777" w:rsidR="00E743C2" w:rsidRPr="003D3AC5" w:rsidRDefault="000B3D79" w:rsidP="00424492">
            <w:pPr>
              <w:spacing w:line="240" w:lineRule="auto"/>
              <w:rPr>
                <w:color w:val="92D050"/>
                <w:sz w:val="18"/>
                <w:szCs w:val="18"/>
              </w:rPr>
            </w:pPr>
            <w:r w:rsidRPr="003D3AC5">
              <w:rPr>
                <w:b/>
                <w:bCs/>
                <w:iCs/>
                <w:color w:val="92D050"/>
                <w:sz w:val="18"/>
                <w:szCs w:val="18"/>
              </w:rPr>
              <w:t>TOEGEVOEGDE WAARDE</w:t>
            </w:r>
          </w:p>
        </w:tc>
        <w:tc>
          <w:tcPr>
            <w:tcW w:w="5113" w:type="dxa"/>
            <w:tcBorders>
              <w:top w:val="single" w:sz="4" w:space="0" w:color="auto"/>
            </w:tcBorders>
            <w:tcMar>
              <w:top w:w="57" w:type="dxa"/>
              <w:bottom w:w="57" w:type="dxa"/>
            </w:tcMar>
          </w:tcPr>
          <w:p w14:paraId="6D1AE669" w14:textId="77777777" w:rsidR="00E743C2" w:rsidRPr="003D3AC5" w:rsidRDefault="000B3D79" w:rsidP="00174F86">
            <w:pPr>
              <w:spacing w:line="240" w:lineRule="auto"/>
              <w:contextualSpacing/>
              <w:rPr>
                <w:color w:val="92D050"/>
                <w:sz w:val="18"/>
                <w:szCs w:val="18"/>
              </w:rPr>
            </w:pPr>
            <w:r w:rsidRPr="003D3AC5">
              <w:rPr>
                <w:b/>
                <w:bCs/>
                <w:iCs/>
                <w:color w:val="92D050"/>
                <w:sz w:val="18"/>
                <w:szCs w:val="18"/>
              </w:rPr>
              <w:t>RESULTAATINDICATOREN</w:t>
            </w:r>
          </w:p>
        </w:tc>
      </w:tr>
      <w:tr w:rsidR="00D14BF6" w14:paraId="21AEC34F" w14:textId="77777777" w:rsidTr="00E02A4F">
        <w:tc>
          <w:tcPr>
            <w:tcW w:w="4668" w:type="dxa"/>
            <w:tcMar>
              <w:top w:w="28" w:type="dxa"/>
              <w:bottom w:w="28" w:type="dxa"/>
            </w:tcMar>
          </w:tcPr>
          <w:p w14:paraId="2119B1EB" w14:textId="77777777" w:rsidR="00D14BF6" w:rsidRPr="00A2314C" w:rsidRDefault="00D14BF6" w:rsidP="00FD0F96">
            <w:pPr>
              <w:spacing w:line="240" w:lineRule="auto"/>
              <w:rPr>
                <w:b/>
                <w:bCs/>
                <w:sz w:val="18"/>
                <w:szCs w:val="18"/>
              </w:rPr>
            </w:pPr>
            <w:r w:rsidRPr="00A2314C">
              <w:rPr>
                <w:b/>
                <w:bCs/>
                <w:sz w:val="18"/>
                <w:szCs w:val="18"/>
              </w:rPr>
              <w:t>Verwerking facturen/betalingen</w:t>
            </w:r>
          </w:p>
          <w:p w14:paraId="68FA587B" w14:textId="71CB3C44" w:rsidR="00D14BF6" w:rsidRDefault="00D14BF6" w:rsidP="00FD0F96">
            <w:pPr>
              <w:spacing w:line="240" w:lineRule="auto"/>
              <w:contextualSpacing/>
            </w:pPr>
            <w:r w:rsidRPr="00A2314C">
              <w:rPr>
                <w:sz w:val="18"/>
                <w:szCs w:val="18"/>
              </w:rPr>
              <w:t xml:space="preserve">Facturen zijn tijdig en accuraat verwerkt en digitaal verzonden aan relaties, terwijl debiteureninformatie tijdig is bijgewerkt op basis van input van sales. Betalingen zijn zorgvuldig gecontroleerd en </w:t>
            </w:r>
            <w:proofErr w:type="spellStart"/>
            <w:r w:rsidRPr="00A2314C">
              <w:rPr>
                <w:sz w:val="18"/>
                <w:szCs w:val="18"/>
              </w:rPr>
              <w:t>gematcht</w:t>
            </w:r>
            <w:proofErr w:type="spellEnd"/>
            <w:r w:rsidRPr="00A2314C">
              <w:rPr>
                <w:sz w:val="18"/>
                <w:szCs w:val="18"/>
              </w:rPr>
              <w:t xml:space="preserve"> met facturen, afwijkingen zijn</w:t>
            </w:r>
            <w:r>
              <w:rPr>
                <w:sz w:val="18"/>
                <w:szCs w:val="18"/>
              </w:rPr>
              <w:t xml:space="preserve"> </w:t>
            </w:r>
            <w:r w:rsidRPr="00A2314C">
              <w:rPr>
                <w:sz w:val="18"/>
                <w:szCs w:val="18"/>
              </w:rPr>
              <w:t xml:space="preserve">geïdentificeerd en opgelost in samenwerking met betrokken partijen. De afdeling Sales wordt geadviseerd over </w:t>
            </w:r>
            <w:r>
              <w:rPr>
                <w:sz w:val="18"/>
                <w:szCs w:val="18"/>
              </w:rPr>
              <w:t>oplossingsrichtingen bij</w:t>
            </w:r>
            <w:r w:rsidRPr="00A2314C">
              <w:rPr>
                <w:sz w:val="18"/>
                <w:szCs w:val="18"/>
              </w:rPr>
              <w:t xml:space="preserve"> </w:t>
            </w:r>
            <w:proofErr w:type="spellStart"/>
            <w:r w:rsidRPr="00A2314C">
              <w:rPr>
                <w:sz w:val="18"/>
                <w:szCs w:val="18"/>
              </w:rPr>
              <w:t>betalingsgerelateerde</w:t>
            </w:r>
            <w:proofErr w:type="spellEnd"/>
            <w:r w:rsidRPr="00A2314C">
              <w:rPr>
                <w:sz w:val="18"/>
                <w:szCs w:val="18"/>
              </w:rPr>
              <w:t xml:space="preserve"> kwesties.</w:t>
            </w:r>
          </w:p>
        </w:tc>
        <w:tc>
          <w:tcPr>
            <w:tcW w:w="5113" w:type="dxa"/>
            <w:tcMar>
              <w:top w:w="28" w:type="dxa"/>
              <w:bottom w:w="28" w:type="dxa"/>
            </w:tcMar>
          </w:tcPr>
          <w:p w14:paraId="08C002E1" w14:textId="77777777" w:rsidR="00D14BF6" w:rsidRPr="00A2314C" w:rsidRDefault="00D14BF6" w:rsidP="00FD0F96">
            <w:pPr>
              <w:pStyle w:val="Lijstalinea"/>
              <w:numPr>
                <w:ilvl w:val="0"/>
                <w:numId w:val="5"/>
              </w:numPr>
              <w:spacing w:line="240" w:lineRule="auto"/>
              <w:ind w:left="284" w:hanging="284"/>
              <w:rPr>
                <w:b/>
                <w:bCs/>
                <w:sz w:val="18"/>
                <w:szCs w:val="18"/>
              </w:rPr>
            </w:pPr>
            <w:r w:rsidRPr="00A2314C">
              <w:rPr>
                <w:sz w:val="18"/>
                <w:szCs w:val="18"/>
              </w:rPr>
              <w:t>tijdige verwerking (geen achterstanden);</w:t>
            </w:r>
          </w:p>
          <w:p w14:paraId="493B36AC" w14:textId="77777777" w:rsidR="00D14BF6" w:rsidRPr="00A2314C" w:rsidRDefault="00D14BF6" w:rsidP="00FD0F96">
            <w:pPr>
              <w:pStyle w:val="Lijstalinea"/>
              <w:numPr>
                <w:ilvl w:val="0"/>
                <w:numId w:val="5"/>
              </w:numPr>
              <w:spacing w:line="240" w:lineRule="auto"/>
              <w:ind w:left="284" w:hanging="284"/>
              <w:rPr>
                <w:b/>
                <w:bCs/>
                <w:sz w:val="18"/>
                <w:szCs w:val="18"/>
              </w:rPr>
            </w:pPr>
            <w:r w:rsidRPr="00A2314C">
              <w:rPr>
                <w:sz w:val="18"/>
                <w:szCs w:val="18"/>
              </w:rPr>
              <w:t>correcte verwerking deelbetalingen;</w:t>
            </w:r>
          </w:p>
          <w:p w14:paraId="7FAD4284" w14:textId="77777777" w:rsidR="00D14BF6" w:rsidRPr="00A2314C" w:rsidRDefault="00D14BF6" w:rsidP="00FD0F96">
            <w:pPr>
              <w:pStyle w:val="Lijstalinea"/>
              <w:numPr>
                <w:ilvl w:val="0"/>
                <w:numId w:val="5"/>
              </w:numPr>
              <w:spacing w:line="240" w:lineRule="auto"/>
              <w:ind w:left="284" w:hanging="284"/>
              <w:rPr>
                <w:b/>
                <w:bCs/>
                <w:sz w:val="18"/>
                <w:szCs w:val="18"/>
              </w:rPr>
            </w:pPr>
            <w:r w:rsidRPr="00A2314C">
              <w:rPr>
                <w:sz w:val="18"/>
                <w:szCs w:val="18"/>
              </w:rPr>
              <w:t>aantal afboekingen;</w:t>
            </w:r>
          </w:p>
          <w:p w14:paraId="6A2828B6" w14:textId="34DDC095" w:rsidR="00D14BF6" w:rsidRDefault="00D14BF6" w:rsidP="00FD0F96">
            <w:pPr>
              <w:pStyle w:val="Lijstalinea"/>
              <w:numPr>
                <w:ilvl w:val="0"/>
                <w:numId w:val="5"/>
              </w:numPr>
              <w:spacing w:line="240" w:lineRule="auto"/>
              <w:ind w:left="284" w:hanging="284"/>
            </w:pPr>
            <w:r w:rsidRPr="00A2314C">
              <w:rPr>
                <w:sz w:val="18"/>
                <w:szCs w:val="18"/>
              </w:rPr>
              <w:t>kwaliteit advies.</w:t>
            </w:r>
          </w:p>
        </w:tc>
      </w:tr>
      <w:tr w:rsidR="00D14BF6" w14:paraId="2BD9B3D4" w14:textId="77777777" w:rsidTr="00E02A4F">
        <w:tc>
          <w:tcPr>
            <w:tcW w:w="4668" w:type="dxa"/>
            <w:tcMar>
              <w:top w:w="28" w:type="dxa"/>
              <w:bottom w:w="28" w:type="dxa"/>
            </w:tcMar>
          </w:tcPr>
          <w:p w14:paraId="285AD694" w14:textId="77777777" w:rsidR="00D14BF6" w:rsidRPr="00A2314C" w:rsidRDefault="00D14BF6" w:rsidP="00FD0F96">
            <w:pPr>
              <w:spacing w:line="240" w:lineRule="auto"/>
              <w:rPr>
                <w:b/>
                <w:bCs/>
                <w:sz w:val="18"/>
                <w:szCs w:val="18"/>
              </w:rPr>
            </w:pPr>
            <w:r w:rsidRPr="00A2314C">
              <w:rPr>
                <w:b/>
                <w:bCs/>
                <w:sz w:val="18"/>
                <w:szCs w:val="18"/>
              </w:rPr>
              <w:t>Debiteurenbeheer en incasso</w:t>
            </w:r>
          </w:p>
          <w:p w14:paraId="1098BFA1" w14:textId="3FE6B220" w:rsidR="00D14BF6" w:rsidRDefault="00D14BF6" w:rsidP="00FD0F96">
            <w:pPr>
              <w:spacing w:line="240" w:lineRule="auto"/>
              <w:contextualSpacing/>
            </w:pPr>
            <w:r w:rsidRPr="00A2314C">
              <w:rPr>
                <w:sz w:val="18"/>
                <w:szCs w:val="18"/>
              </w:rPr>
              <w:t>Openstaande saldi zijn regelmatig gecontroleerd</w:t>
            </w:r>
            <w:r>
              <w:rPr>
                <w:sz w:val="18"/>
                <w:szCs w:val="18"/>
              </w:rPr>
              <w:t xml:space="preserve"> op</w:t>
            </w:r>
            <w:r w:rsidRPr="00A2314C">
              <w:rPr>
                <w:sz w:val="18"/>
                <w:szCs w:val="18"/>
              </w:rPr>
              <w:t xml:space="preserve"> achterstallige betalinge</w:t>
            </w:r>
            <w:r>
              <w:rPr>
                <w:sz w:val="18"/>
                <w:szCs w:val="18"/>
              </w:rPr>
              <w:t>n</w:t>
            </w:r>
            <w:r w:rsidRPr="00A2314C">
              <w:rPr>
                <w:sz w:val="18"/>
                <w:szCs w:val="18"/>
              </w:rPr>
              <w:t xml:space="preserve">. De incassoprocedure is </w:t>
            </w:r>
            <w:r>
              <w:rPr>
                <w:sz w:val="18"/>
                <w:szCs w:val="18"/>
              </w:rPr>
              <w:t>in gang gezet</w:t>
            </w:r>
            <w:r w:rsidRPr="00A2314C">
              <w:rPr>
                <w:sz w:val="18"/>
                <w:szCs w:val="18"/>
              </w:rPr>
              <w:t xml:space="preserve">. Trends in betalingsgedrag van relaties zijn geanalyseerd waarbij bijzondere gevallen en niet-betalers zijn geïdentificeerd en </w:t>
            </w:r>
            <w:r>
              <w:rPr>
                <w:sz w:val="18"/>
                <w:szCs w:val="18"/>
              </w:rPr>
              <w:t>op</w:t>
            </w:r>
            <w:r w:rsidRPr="00A2314C">
              <w:rPr>
                <w:sz w:val="18"/>
                <w:szCs w:val="18"/>
              </w:rPr>
              <w:t>gepakt. Vervolgstappen worden afgestemd met het management.</w:t>
            </w:r>
          </w:p>
        </w:tc>
        <w:tc>
          <w:tcPr>
            <w:tcW w:w="5113" w:type="dxa"/>
            <w:tcMar>
              <w:top w:w="28" w:type="dxa"/>
              <w:bottom w:w="28" w:type="dxa"/>
            </w:tcMar>
          </w:tcPr>
          <w:p w14:paraId="580A9700" w14:textId="77777777" w:rsidR="00D14BF6" w:rsidRPr="00A2314C" w:rsidRDefault="00D14BF6" w:rsidP="00FD0F96">
            <w:pPr>
              <w:pStyle w:val="Lijstalinea"/>
              <w:numPr>
                <w:ilvl w:val="0"/>
                <w:numId w:val="5"/>
              </w:numPr>
              <w:spacing w:line="240" w:lineRule="auto"/>
              <w:ind w:left="284" w:hanging="284"/>
              <w:rPr>
                <w:b/>
                <w:bCs/>
                <w:sz w:val="18"/>
                <w:szCs w:val="18"/>
              </w:rPr>
            </w:pPr>
            <w:r w:rsidRPr="00A2314C">
              <w:rPr>
                <w:sz w:val="18"/>
                <w:szCs w:val="18"/>
              </w:rPr>
              <w:t>tijdige actie op betaalachterstand (% belacties);</w:t>
            </w:r>
          </w:p>
          <w:p w14:paraId="294FBAE9" w14:textId="77777777" w:rsidR="00D14BF6" w:rsidRPr="00A2314C" w:rsidRDefault="00D14BF6" w:rsidP="00FD0F96">
            <w:pPr>
              <w:pStyle w:val="Lijstalinea"/>
              <w:numPr>
                <w:ilvl w:val="0"/>
                <w:numId w:val="5"/>
              </w:numPr>
              <w:spacing w:line="240" w:lineRule="auto"/>
              <w:ind w:left="284" w:hanging="284"/>
              <w:rPr>
                <w:b/>
                <w:bCs/>
                <w:sz w:val="18"/>
                <w:szCs w:val="18"/>
              </w:rPr>
            </w:pPr>
            <w:r w:rsidRPr="00A2314C">
              <w:rPr>
                <w:sz w:val="18"/>
                <w:szCs w:val="18"/>
              </w:rPr>
              <w:t>opvolging procedures;</w:t>
            </w:r>
          </w:p>
          <w:p w14:paraId="599B09F4" w14:textId="72C2434D" w:rsidR="00D14BF6" w:rsidRDefault="00D14BF6" w:rsidP="00FD0F96">
            <w:pPr>
              <w:pStyle w:val="Lijstalinea"/>
              <w:numPr>
                <w:ilvl w:val="0"/>
                <w:numId w:val="5"/>
              </w:numPr>
              <w:spacing w:line="240" w:lineRule="auto"/>
              <w:ind w:left="284" w:hanging="284"/>
            </w:pPr>
            <w:r w:rsidRPr="00A2314C">
              <w:rPr>
                <w:sz w:val="18"/>
                <w:szCs w:val="18"/>
              </w:rPr>
              <w:t>adequate vastlegging van reden (klacht) niet/verlaat betalen.</w:t>
            </w:r>
          </w:p>
        </w:tc>
      </w:tr>
      <w:tr w:rsidR="00D14BF6" w14:paraId="6443A437" w14:textId="77777777" w:rsidTr="00E02A4F">
        <w:tc>
          <w:tcPr>
            <w:tcW w:w="4668" w:type="dxa"/>
            <w:tcMar>
              <w:top w:w="28" w:type="dxa"/>
              <w:bottom w:w="28" w:type="dxa"/>
            </w:tcMar>
          </w:tcPr>
          <w:p w14:paraId="165E1C3A" w14:textId="77777777" w:rsidR="00D14BF6" w:rsidRPr="00A2314C" w:rsidRDefault="00D14BF6" w:rsidP="00FD0F96">
            <w:pPr>
              <w:spacing w:line="240" w:lineRule="auto"/>
              <w:rPr>
                <w:sz w:val="18"/>
                <w:szCs w:val="18"/>
              </w:rPr>
            </w:pPr>
            <w:r w:rsidRPr="00A2314C">
              <w:rPr>
                <w:b/>
                <w:bCs/>
                <w:sz w:val="18"/>
                <w:szCs w:val="18"/>
              </w:rPr>
              <w:t xml:space="preserve">Afhandeling van eerstelijns vragen </w:t>
            </w:r>
            <w:proofErr w:type="gramStart"/>
            <w:r w:rsidRPr="00A2314C">
              <w:rPr>
                <w:b/>
                <w:bCs/>
                <w:sz w:val="18"/>
                <w:szCs w:val="18"/>
              </w:rPr>
              <w:t>inzake</w:t>
            </w:r>
            <w:proofErr w:type="gramEnd"/>
            <w:r w:rsidRPr="00A2314C">
              <w:rPr>
                <w:b/>
                <w:bCs/>
                <w:sz w:val="18"/>
                <w:szCs w:val="18"/>
              </w:rPr>
              <w:t xml:space="preserve"> facturen</w:t>
            </w:r>
          </w:p>
          <w:p w14:paraId="4A06211B" w14:textId="336D981D" w:rsidR="00D14BF6" w:rsidRDefault="00D14BF6" w:rsidP="00FD0F96">
            <w:pPr>
              <w:spacing w:line="240" w:lineRule="auto"/>
              <w:contextualSpacing/>
            </w:pPr>
            <w:r>
              <w:rPr>
                <w:sz w:val="18"/>
                <w:szCs w:val="18"/>
              </w:rPr>
              <w:t>E</w:t>
            </w:r>
            <w:r w:rsidRPr="00A2314C">
              <w:rPr>
                <w:sz w:val="18"/>
                <w:szCs w:val="18"/>
              </w:rPr>
              <w:t xml:space="preserve">erstelijns vragen en bezwaren </w:t>
            </w:r>
            <w:proofErr w:type="gramStart"/>
            <w:r w:rsidRPr="00A2314C">
              <w:rPr>
                <w:sz w:val="18"/>
                <w:szCs w:val="18"/>
              </w:rPr>
              <w:t>inzake</w:t>
            </w:r>
            <w:proofErr w:type="gramEnd"/>
            <w:r w:rsidRPr="00A2314C">
              <w:rPr>
                <w:sz w:val="18"/>
                <w:szCs w:val="18"/>
              </w:rPr>
              <w:t xml:space="preserve"> facturen</w:t>
            </w:r>
            <w:r>
              <w:rPr>
                <w:sz w:val="18"/>
                <w:szCs w:val="18"/>
              </w:rPr>
              <w:t xml:space="preserve"> zijn afgehandeld en bij </w:t>
            </w:r>
            <w:r w:rsidRPr="00A2314C">
              <w:rPr>
                <w:sz w:val="18"/>
                <w:szCs w:val="18"/>
              </w:rPr>
              <w:t>vermeende afwijking</w:t>
            </w:r>
            <w:r>
              <w:rPr>
                <w:sz w:val="18"/>
                <w:szCs w:val="18"/>
              </w:rPr>
              <w:t>en is afstemming gezocht met Sales.</w:t>
            </w:r>
            <w:r w:rsidRPr="00A2314C">
              <w:rPr>
                <w:sz w:val="18"/>
                <w:szCs w:val="18"/>
              </w:rPr>
              <w:t xml:space="preserve"> De voortgang van de (afhandeling van) lopende bezwaren </w:t>
            </w:r>
            <w:r>
              <w:rPr>
                <w:sz w:val="18"/>
                <w:szCs w:val="18"/>
              </w:rPr>
              <w:t xml:space="preserve">is </w:t>
            </w:r>
            <w:r w:rsidRPr="00A2314C">
              <w:rPr>
                <w:sz w:val="18"/>
                <w:szCs w:val="18"/>
              </w:rPr>
              <w:t>bewaakt.</w:t>
            </w:r>
          </w:p>
        </w:tc>
        <w:tc>
          <w:tcPr>
            <w:tcW w:w="5113" w:type="dxa"/>
            <w:tcMar>
              <w:top w:w="28" w:type="dxa"/>
              <w:bottom w:w="28" w:type="dxa"/>
            </w:tcMar>
          </w:tcPr>
          <w:p w14:paraId="3A86E673" w14:textId="2E8D9288" w:rsidR="00D14BF6" w:rsidRDefault="00D95ACB" w:rsidP="00263D1E">
            <w:pPr>
              <w:pStyle w:val="Lijstalinea"/>
              <w:numPr>
                <w:ilvl w:val="0"/>
                <w:numId w:val="5"/>
              </w:numPr>
              <w:spacing w:line="240" w:lineRule="auto"/>
              <w:ind w:left="284" w:hanging="284"/>
            </w:pPr>
            <w:r>
              <w:rPr>
                <w:sz w:val="18"/>
                <w:szCs w:val="18"/>
              </w:rPr>
              <w:t>t</w:t>
            </w:r>
            <w:r w:rsidR="00D14BF6" w:rsidRPr="00A2314C">
              <w:rPr>
                <w:sz w:val="18"/>
                <w:szCs w:val="18"/>
              </w:rPr>
              <w:t>evredenheid</w:t>
            </w:r>
            <w:r>
              <w:rPr>
                <w:sz w:val="18"/>
                <w:szCs w:val="18"/>
              </w:rPr>
              <w:t xml:space="preserve"> </w:t>
            </w:r>
            <w:r w:rsidR="00D14BF6" w:rsidRPr="00A2314C">
              <w:rPr>
                <w:sz w:val="18"/>
                <w:szCs w:val="18"/>
              </w:rPr>
              <w:t>klant m.b.t. wijze van benadering en doorlooptijd afwikkeling</w:t>
            </w:r>
          </w:p>
        </w:tc>
      </w:tr>
      <w:tr w:rsidR="009520B9" w14:paraId="5FEFDA55" w14:textId="77777777" w:rsidTr="00E02A4F">
        <w:tc>
          <w:tcPr>
            <w:tcW w:w="9781" w:type="dxa"/>
            <w:gridSpan w:val="2"/>
            <w:tcBorders>
              <w:left w:val="nil"/>
              <w:bottom w:val="nil"/>
              <w:right w:val="nil"/>
            </w:tcBorders>
            <w:tcMar>
              <w:top w:w="28" w:type="dxa"/>
              <w:bottom w:w="28" w:type="dxa"/>
            </w:tcMar>
          </w:tcPr>
          <w:p w14:paraId="24A4C394" w14:textId="77777777" w:rsidR="009520B9" w:rsidRPr="00F13CD0" w:rsidRDefault="009520B9" w:rsidP="00FD0F96">
            <w:pPr>
              <w:spacing w:line="240" w:lineRule="auto"/>
              <w:rPr>
                <w:rFonts w:cs="Arial"/>
                <w:color w:val="000000"/>
                <w:sz w:val="18"/>
                <w:szCs w:val="18"/>
                <w:lang w:bidi="x-none"/>
              </w:rPr>
            </w:pPr>
          </w:p>
        </w:tc>
      </w:tr>
      <w:tr w:rsidR="009520B9" w14:paraId="4F7A2FCE" w14:textId="77777777" w:rsidTr="00E02A4F">
        <w:trPr>
          <w:trHeight w:val="851"/>
        </w:trPr>
        <w:tc>
          <w:tcPr>
            <w:tcW w:w="9781" w:type="dxa"/>
            <w:gridSpan w:val="2"/>
            <w:tcBorders>
              <w:top w:val="nil"/>
              <w:left w:val="nil"/>
              <w:bottom w:val="single" w:sz="4" w:space="0" w:color="auto"/>
              <w:right w:val="nil"/>
            </w:tcBorders>
          </w:tcPr>
          <w:p w14:paraId="0F97D95B" w14:textId="77777777" w:rsidR="009520B9" w:rsidRDefault="009520B9" w:rsidP="009520B9">
            <w:r>
              <w:rPr>
                <w:noProof/>
              </w:rPr>
              <mc:AlternateContent>
                <mc:Choice Requires="wps">
                  <w:drawing>
                    <wp:anchor distT="0" distB="0" distL="114300" distR="114300" simplePos="0" relativeHeight="251658243" behindDoc="1" locked="0" layoutInCell="1" allowOverlap="1" wp14:anchorId="4735C4C4" wp14:editId="584A930C">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C431A"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5C4C4" id="_x0000_s1033" style="position:absolute;margin-left:-56.55pt;margin-top:0;width:256.8pt;height:26.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" fillcolor="#92d050" stroked="f" strokeweight="1pt">
                      <v:stroke joinstyle="miter"/>
                      <v:textbox>
                        <w:txbxContent>
                          <w:p w14:paraId="7E2C431A"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9520B9" w14:paraId="63EC616D" w14:textId="77777777" w:rsidTr="00E02A4F">
        <w:tc>
          <w:tcPr>
            <w:tcW w:w="9781" w:type="dxa"/>
            <w:gridSpan w:val="2"/>
            <w:tcBorders>
              <w:top w:val="single" w:sz="4" w:space="0" w:color="auto"/>
            </w:tcBorders>
            <w:tcMar>
              <w:top w:w="28" w:type="dxa"/>
              <w:bottom w:w="28" w:type="dxa"/>
            </w:tcMar>
          </w:tcPr>
          <w:p w14:paraId="2851C481" w14:textId="6957D863" w:rsidR="009520B9" w:rsidRPr="00DA72FE" w:rsidRDefault="0028758C" w:rsidP="00DA72FE">
            <w:pPr>
              <w:spacing w:line="240" w:lineRule="auto"/>
              <w:rPr>
                <w:rFonts w:cs="Arial"/>
                <w:color w:val="000000"/>
                <w:sz w:val="18"/>
                <w:szCs w:val="18"/>
              </w:rPr>
            </w:pPr>
            <w:r w:rsidRPr="00DA72FE">
              <w:rPr>
                <w:sz w:val="18"/>
                <w:szCs w:val="18"/>
              </w:rPr>
              <w:t>Inspannende houding en eenzijdige belasting van oog- en rugspieren bij het werken met een computer/laptop of geautomatiseerd systeem.</w:t>
            </w:r>
          </w:p>
        </w:tc>
      </w:tr>
    </w:tbl>
    <w:p w14:paraId="24EBE810" w14:textId="77777777" w:rsidR="00FE6541" w:rsidRDefault="00FE6541">
      <w:pPr>
        <w:sectPr w:rsidR="00FE6541" w:rsidSect="00FE6541">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docGrid w:linePitch="272"/>
        </w:sectPr>
      </w:pPr>
    </w:p>
    <w:tbl>
      <w:tblPr>
        <w:tblStyle w:val="Tabelraster"/>
        <w:tblW w:w="14736" w:type="dxa"/>
        <w:tblLook w:val="04A0" w:firstRow="1" w:lastRow="0" w:firstColumn="1" w:lastColumn="0" w:noHBand="0" w:noVBand="1"/>
      </w:tblPr>
      <w:tblGrid>
        <w:gridCol w:w="2626"/>
        <w:gridCol w:w="567"/>
        <w:gridCol w:w="281"/>
        <w:gridCol w:w="1410"/>
        <w:gridCol w:w="1688"/>
        <w:gridCol w:w="373"/>
        <w:gridCol w:w="3471"/>
        <w:gridCol w:w="3471"/>
        <w:gridCol w:w="849"/>
      </w:tblGrid>
      <w:tr w:rsidR="007E3FB8" w14:paraId="093E2947" w14:textId="77777777" w:rsidTr="00320CFF">
        <w:trPr>
          <w:gridAfter w:val="4"/>
          <w:wAfter w:w="8164" w:type="dxa"/>
          <w:trHeight w:val="851"/>
        </w:trPr>
        <w:tc>
          <w:tcPr>
            <w:tcW w:w="3193" w:type="dxa"/>
            <w:gridSpan w:val="2"/>
            <w:tcBorders>
              <w:top w:val="nil"/>
              <w:left w:val="nil"/>
              <w:bottom w:val="single" w:sz="4" w:space="0" w:color="auto"/>
              <w:right w:val="nil"/>
            </w:tcBorders>
          </w:tcPr>
          <w:p w14:paraId="093275AC" w14:textId="77777777" w:rsidR="007E3FB8" w:rsidRDefault="007E3FB8" w:rsidP="00F525FE">
            <w:pPr>
              <w:spacing w:line="276" w:lineRule="auto"/>
              <w:rPr>
                <w:noProof/>
              </w:rPr>
            </w:pPr>
            <w:r>
              <w:rPr>
                <w:noProof/>
              </w:rPr>
              <w:lastRenderedPageBreak/>
              <mc:AlternateContent>
                <mc:Choice Requires="wps">
                  <w:drawing>
                    <wp:anchor distT="0" distB="0" distL="114300" distR="114300" simplePos="0" relativeHeight="251660292" behindDoc="1" locked="0" layoutInCell="1" allowOverlap="1" wp14:anchorId="16B488D0" wp14:editId="3FF80C26">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36F83B" w14:textId="77777777" w:rsidR="007E3FB8" w:rsidRPr="003C3694" w:rsidRDefault="007E3FB8"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488D0" id="_x0000_s1034" style="position:absolute;margin-left:-56.65pt;margin-top:.5pt;width:256.8pt;height:26.1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" fillcolor="#92d050" stroked="f" strokeweight="1pt">
                      <v:stroke joinstyle="miter"/>
                      <v:textbox>
                        <w:txbxContent>
                          <w:p w14:paraId="2B36F83B" w14:textId="77777777" w:rsidR="007E3FB8" w:rsidRPr="003C3694" w:rsidRDefault="007E3FB8"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1691" w:type="dxa"/>
            <w:gridSpan w:val="2"/>
            <w:tcBorders>
              <w:top w:val="nil"/>
              <w:left w:val="nil"/>
              <w:bottom w:val="single" w:sz="4" w:space="0" w:color="auto"/>
              <w:right w:val="nil"/>
            </w:tcBorders>
          </w:tcPr>
          <w:p w14:paraId="6FD90260" w14:textId="77777777" w:rsidR="007E3FB8" w:rsidRPr="00F525FE" w:rsidRDefault="007E3FB8" w:rsidP="00F525FE">
            <w:pPr>
              <w:spacing w:line="276" w:lineRule="auto"/>
              <w:rPr>
                <w:rFonts w:cs="Arial"/>
                <w:color w:val="000000"/>
                <w:sz w:val="18"/>
                <w:szCs w:val="18"/>
              </w:rPr>
            </w:pPr>
          </w:p>
        </w:tc>
        <w:tc>
          <w:tcPr>
            <w:tcW w:w="1688" w:type="dxa"/>
            <w:tcBorders>
              <w:top w:val="nil"/>
              <w:left w:val="nil"/>
              <w:bottom w:val="single" w:sz="4" w:space="0" w:color="auto"/>
              <w:right w:val="nil"/>
            </w:tcBorders>
          </w:tcPr>
          <w:p w14:paraId="733D143C" w14:textId="77777777" w:rsidR="007E3FB8" w:rsidRPr="00F525FE" w:rsidRDefault="007E3FB8" w:rsidP="00F525FE">
            <w:pPr>
              <w:spacing w:line="276" w:lineRule="auto"/>
              <w:rPr>
                <w:rFonts w:cs="Arial"/>
                <w:color w:val="000000"/>
                <w:sz w:val="18"/>
                <w:szCs w:val="18"/>
              </w:rPr>
            </w:pPr>
          </w:p>
        </w:tc>
      </w:tr>
      <w:tr w:rsidR="007E3FB8" w14:paraId="097823F5" w14:textId="77777777" w:rsidTr="00DD3C04">
        <w:trPr>
          <w:trHeight w:val="227"/>
        </w:trPr>
        <w:tc>
          <w:tcPr>
            <w:tcW w:w="2626" w:type="dxa"/>
            <w:tcBorders>
              <w:top w:val="single" w:sz="4" w:space="0" w:color="auto"/>
            </w:tcBorders>
            <w:tcMar>
              <w:top w:w="57" w:type="dxa"/>
              <w:bottom w:w="57" w:type="dxa"/>
            </w:tcMar>
          </w:tcPr>
          <w:p w14:paraId="30C2366D" w14:textId="77777777" w:rsidR="007E3FB8" w:rsidRDefault="007E3FB8" w:rsidP="008835C5">
            <w:pPr>
              <w:spacing w:line="240" w:lineRule="auto"/>
              <w:contextualSpacing/>
              <w:rPr>
                <w:noProof/>
              </w:rPr>
            </w:pPr>
            <w:bookmarkStart w:id="0" w:name="_Hlk172621811"/>
          </w:p>
        </w:tc>
        <w:tc>
          <w:tcPr>
            <w:tcW w:w="848" w:type="dxa"/>
            <w:gridSpan w:val="2"/>
            <w:tcBorders>
              <w:top w:val="single" w:sz="4" w:space="0" w:color="auto"/>
            </w:tcBorders>
          </w:tcPr>
          <w:p w14:paraId="25AEBED4" w14:textId="77777777" w:rsidR="007E3FB8" w:rsidRPr="003D3AC5" w:rsidRDefault="007E3FB8" w:rsidP="008835C5">
            <w:pPr>
              <w:spacing w:line="240" w:lineRule="auto"/>
              <w:contextualSpacing/>
              <w:jc w:val="center"/>
              <w:rPr>
                <w:b/>
                <w:caps/>
                <w:color w:val="92D050"/>
                <w:sz w:val="18"/>
              </w:rPr>
            </w:pPr>
            <w:r w:rsidRPr="003D3AC5">
              <w:rPr>
                <w:b/>
                <w:caps/>
                <w:color w:val="92D050"/>
                <w:sz w:val="18"/>
              </w:rPr>
              <w:t>-</w:t>
            </w:r>
          </w:p>
        </w:tc>
        <w:tc>
          <w:tcPr>
            <w:tcW w:w="3471" w:type="dxa"/>
            <w:gridSpan w:val="3"/>
            <w:tcBorders>
              <w:top w:val="single" w:sz="4" w:space="0" w:color="auto"/>
            </w:tcBorders>
          </w:tcPr>
          <w:p w14:paraId="3BDB8C94" w14:textId="31B7BF96" w:rsidR="007E3FB8" w:rsidRPr="003D3AC5" w:rsidRDefault="00320CFF" w:rsidP="008835C5">
            <w:pPr>
              <w:spacing w:line="240" w:lineRule="auto"/>
              <w:contextualSpacing/>
              <w:jc w:val="center"/>
              <w:rPr>
                <w:b/>
                <w:caps/>
                <w:color w:val="92D050"/>
                <w:sz w:val="18"/>
              </w:rPr>
            </w:pPr>
            <w:r>
              <w:rPr>
                <w:b/>
                <w:caps/>
                <w:color w:val="92D050"/>
                <w:sz w:val="18"/>
              </w:rPr>
              <w:t>medewerker debiteurenadministratie I</w:t>
            </w:r>
          </w:p>
        </w:tc>
        <w:tc>
          <w:tcPr>
            <w:tcW w:w="3471" w:type="dxa"/>
            <w:tcBorders>
              <w:top w:val="single" w:sz="4" w:space="0" w:color="auto"/>
            </w:tcBorders>
            <w:shd w:val="clear" w:color="auto" w:fill="F2F2F2" w:themeFill="background1" w:themeFillShade="F2"/>
          </w:tcPr>
          <w:p w14:paraId="70ACE121" w14:textId="2C6118A4" w:rsidR="007E3FB8" w:rsidRPr="003D3AC5" w:rsidRDefault="00320CFF" w:rsidP="008835C5">
            <w:pPr>
              <w:spacing w:line="240" w:lineRule="auto"/>
              <w:contextualSpacing/>
              <w:jc w:val="center"/>
              <w:rPr>
                <w:b/>
                <w:caps/>
                <w:color w:val="92D050"/>
                <w:sz w:val="18"/>
              </w:rPr>
            </w:pPr>
            <w:r>
              <w:rPr>
                <w:b/>
                <w:caps/>
                <w:color w:val="92D050"/>
                <w:sz w:val="18"/>
              </w:rPr>
              <w:t>medewerker debiteurenadministratie II</w:t>
            </w:r>
            <w:r w:rsidRPr="003D3AC5">
              <w:rPr>
                <w:b/>
                <w:caps/>
                <w:color w:val="92D050"/>
                <w:sz w:val="18"/>
              </w:rPr>
              <w:t xml:space="preserve"> </w:t>
            </w:r>
          </w:p>
        </w:tc>
        <w:tc>
          <w:tcPr>
            <w:tcW w:w="3471" w:type="dxa"/>
            <w:tcBorders>
              <w:top w:val="single" w:sz="4" w:space="0" w:color="auto"/>
            </w:tcBorders>
            <w:tcMar>
              <w:top w:w="57" w:type="dxa"/>
              <w:bottom w:w="57" w:type="dxa"/>
            </w:tcMar>
          </w:tcPr>
          <w:p w14:paraId="3345A740" w14:textId="23FB0A25" w:rsidR="007E3FB8" w:rsidRPr="003D3AC5" w:rsidRDefault="00320CFF" w:rsidP="008835C5">
            <w:pPr>
              <w:spacing w:line="240" w:lineRule="auto"/>
              <w:contextualSpacing/>
              <w:jc w:val="center"/>
              <w:rPr>
                <w:noProof/>
                <w:color w:val="92D050"/>
              </w:rPr>
            </w:pPr>
            <w:r>
              <w:rPr>
                <w:b/>
                <w:caps/>
                <w:color w:val="92D050"/>
                <w:sz w:val="18"/>
              </w:rPr>
              <w:t>medewerker debiteurenadministratie II</w:t>
            </w:r>
          </w:p>
        </w:tc>
        <w:tc>
          <w:tcPr>
            <w:tcW w:w="849" w:type="dxa"/>
            <w:tcBorders>
              <w:top w:val="single" w:sz="4" w:space="0" w:color="auto"/>
            </w:tcBorders>
            <w:tcMar>
              <w:top w:w="57" w:type="dxa"/>
              <w:bottom w:w="57" w:type="dxa"/>
            </w:tcMar>
          </w:tcPr>
          <w:p w14:paraId="0B4C4ECF" w14:textId="77777777" w:rsidR="007E3FB8" w:rsidRPr="003D3AC5" w:rsidRDefault="007E3FB8" w:rsidP="00E7789A">
            <w:pPr>
              <w:jc w:val="center"/>
              <w:rPr>
                <w:b/>
                <w:bCs/>
                <w:noProof/>
                <w:color w:val="92D050"/>
              </w:rPr>
            </w:pPr>
            <w:r w:rsidRPr="003D3AC5">
              <w:rPr>
                <w:b/>
                <w:bCs/>
                <w:noProof/>
                <w:color w:val="92D050"/>
              </w:rPr>
              <w:t>+</w:t>
            </w:r>
          </w:p>
        </w:tc>
      </w:tr>
      <w:tr w:rsidR="007E3FB8" w14:paraId="2DEA07D5" w14:textId="77777777" w:rsidTr="00DD3C04">
        <w:tc>
          <w:tcPr>
            <w:tcW w:w="2626" w:type="dxa"/>
            <w:tcMar>
              <w:top w:w="28" w:type="dxa"/>
              <w:bottom w:w="28" w:type="dxa"/>
            </w:tcMar>
          </w:tcPr>
          <w:p w14:paraId="61082FCA" w14:textId="3F5B7C33" w:rsidR="007E3FB8" w:rsidRPr="003D3AC5" w:rsidRDefault="007E3FB8" w:rsidP="007E3FB8">
            <w:pPr>
              <w:spacing w:line="240" w:lineRule="auto"/>
              <w:ind w:left="284" w:hanging="284"/>
              <w:contextualSpacing/>
              <w:rPr>
                <w:b/>
                <w:iCs/>
                <w:color w:val="92D050"/>
                <w:sz w:val="18"/>
                <w:szCs w:val="21"/>
              </w:rPr>
            </w:pPr>
            <w:r w:rsidRPr="003D3AC5">
              <w:rPr>
                <w:b/>
                <w:iCs/>
                <w:color w:val="92D050"/>
                <w:sz w:val="18"/>
                <w:szCs w:val="21"/>
              </w:rPr>
              <w:t xml:space="preserve">Aard </w:t>
            </w:r>
            <w:r>
              <w:rPr>
                <w:b/>
                <w:iCs/>
                <w:color w:val="92D050"/>
                <w:sz w:val="18"/>
                <w:szCs w:val="21"/>
              </w:rPr>
              <w:t>werkzaamheden</w:t>
            </w:r>
          </w:p>
          <w:p w14:paraId="121E44A8" w14:textId="77777777" w:rsidR="007E3FB8" w:rsidRPr="003D3AC5" w:rsidRDefault="007E3FB8" w:rsidP="007E3FB8">
            <w:pPr>
              <w:spacing w:line="240" w:lineRule="auto"/>
              <w:contextualSpacing/>
              <w:rPr>
                <w:noProof/>
                <w:color w:val="92D050"/>
              </w:rPr>
            </w:pPr>
          </w:p>
        </w:tc>
        <w:tc>
          <w:tcPr>
            <w:tcW w:w="848" w:type="dxa"/>
            <w:gridSpan w:val="2"/>
            <w:vMerge w:val="restart"/>
            <w:textDirection w:val="btLr"/>
            <w:vAlign w:val="center"/>
          </w:tcPr>
          <w:p w14:paraId="1403612A" w14:textId="77777777" w:rsidR="00E4477C" w:rsidRDefault="007E3FB8" w:rsidP="00DC55D9">
            <w:pPr>
              <w:spacing w:line="240" w:lineRule="auto"/>
              <w:ind w:left="113" w:right="113"/>
              <w:contextualSpacing/>
              <w:jc w:val="center"/>
              <w:rPr>
                <w:sz w:val="18"/>
                <w:szCs w:val="18"/>
              </w:rPr>
            </w:pPr>
            <w:r w:rsidRPr="00783270">
              <w:rPr>
                <w:sz w:val="18"/>
                <w:szCs w:val="18"/>
              </w:rPr>
              <w:t>Zie functieomschrijving en NOK</w:t>
            </w:r>
          </w:p>
          <w:p w14:paraId="67CED1BB" w14:textId="137B5B34" w:rsidR="007E3FB8" w:rsidRPr="00CA3062" w:rsidRDefault="00DC55D9" w:rsidP="00DC55D9">
            <w:pPr>
              <w:spacing w:line="240" w:lineRule="auto"/>
              <w:ind w:left="113" w:right="113"/>
              <w:contextualSpacing/>
              <w:jc w:val="center"/>
              <w:rPr>
                <w:sz w:val="18"/>
                <w:szCs w:val="21"/>
              </w:rPr>
            </w:pPr>
            <w:r>
              <w:rPr>
                <w:sz w:val="18"/>
                <w:szCs w:val="21"/>
              </w:rPr>
              <w:t>administratief medewerker</w:t>
            </w:r>
          </w:p>
        </w:tc>
        <w:tc>
          <w:tcPr>
            <w:tcW w:w="3471" w:type="dxa"/>
            <w:gridSpan w:val="3"/>
          </w:tcPr>
          <w:p w14:paraId="47768ECF" w14:textId="16C082DF" w:rsidR="007E3FB8" w:rsidRPr="00320CFF" w:rsidRDefault="007E3FB8" w:rsidP="00FD0F96">
            <w:pPr>
              <w:pStyle w:val="Lijstalinea"/>
              <w:numPr>
                <w:ilvl w:val="0"/>
                <w:numId w:val="8"/>
              </w:numPr>
              <w:spacing w:line="240" w:lineRule="auto"/>
              <w:ind w:left="284" w:hanging="284"/>
              <w:rPr>
                <w:noProof/>
                <w:sz w:val="18"/>
                <w:szCs w:val="18"/>
              </w:rPr>
            </w:pPr>
            <w:r w:rsidRPr="00320CFF">
              <w:rPr>
                <w:noProof/>
                <w:sz w:val="18"/>
                <w:szCs w:val="18"/>
              </w:rPr>
              <w:t>controle beperkt tot aanwezigheid van parafen, tenaamstelling e.d.;</w:t>
            </w:r>
          </w:p>
          <w:p w14:paraId="067A0E3E" w14:textId="6ECE8B6C" w:rsidR="007E3FB8" w:rsidRPr="001D20BE" w:rsidRDefault="007E3FB8" w:rsidP="00FD0F96">
            <w:pPr>
              <w:pStyle w:val="Lijstalinea"/>
              <w:numPr>
                <w:ilvl w:val="0"/>
                <w:numId w:val="8"/>
              </w:numPr>
              <w:spacing w:line="240" w:lineRule="auto"/>
              <w:ind w:left="284" w:hanging="284"/>
              <w:rPr>
                <w:noProof/>
                <w:sz w:val="18"/>
                <w:szCs w:val="18"/>
              </w:rPr>
            </w:pPr>
            <w:r w:rsidRPr="00FF3FE2">
              <w:rPr>
                <w:noProof/>
                <w:sz w:val="18"/>
                <w:szCs w:val="18"/>
              </w:rPr>
              <w:t>uitzoeken van verschillen alleen op boekingsniveau, niet op klant- of contractniveau</w:t>
            </w:r>
            <w:r>
              <w:rPr>
                <w:noProof/>
                <w:sz w:val="18"/>
                <w:szCs w:val="18"/>
              </w:rPr>
              <w:t>.</w:t>
            </w:r>
          </w:p>
        </w:tc>
        <w:tc>
          <w:tcPr>
            <w:tcW w:w="3471" w:type="dxa"/>
            <w:shd w:val="clear" w:color="auto" w:fill="F2F2F2" w:themeFill="background1" w:themeFillShade="F2"/>
          </w:tcPr>
          <w:p w14:paraId="6DD97ECD" w14:textId="6DCD6508" w:rsidR="007E3FB8" w:rsidRPr="00320CFF" w:rsidRDefault="007E3FB8" w:rsidP="00FD0F96">
            <w:pPr>
              <w:pStyle w:val="Lijstalinea"/>
              <w:numPr>
                <w:ilvl w:val="0"/>
                <w:numId w:val="9"/>
              </w:numPr>
              <w:spacing w:line="240" w:lineRule="auto"/>
              <w:ind w:left="284" w:hanging="284"/>
              <w:rPr>
                <w:noProof/>
                <w:sz w:val="18"/>
                <w:szCs w:val="18"/>
              </w:rPr>
            </w:pPr>
            <w:r w:rsidRPr="00320CFF">
              <w:rPr>
                <w:noProof/>
                <w:sz w:val="18"/>
                <w:szCs w:val="18"/>
              </w:rPr>
              <w:t>volledige controle en matching van facturen;</w:t>
            </w:r>
          </w:p>
          <w:p w14:paraId="342DD6EE" w14:textId="1C2D2AAF" w:rsidR="007E3FB8" w:rsidRPr="001D20BE" w:rsidRDefault="007E3FB8" w:rsidP="00FD0F96">
            <w:pPr>
              <w:pStyle w:val="Lijstalinea"/>
              <w:numPr>
                <w:ilvl w:val="0"/>
                <w:numId w:val="9"/>
              </w:numPr>
              <w:spacing w:line="240" w:lineRule="auto"/>
              <w:ind w:left="284" w:hanging="284"/>
              <w:rPr>
                <w:noProof/>
                <w:sz w:val="18"/>
                <w:szCs w:val="18"/>
              </w:rPr>
            </w:pPr>
            <w:r w:rsidRPr="00FF3FE2">
              <w:rPr>
                <w:noProof/>
                <w:sz w:val="18"/>
                <w:szCs w:val="18"/>
              </w:rPr>
              <w:t>uitzoeken van verschillen ook op klant- of contractniveau</w:t>
            </w:r>
            <w:r>
              <w:rPr>
                <w:noProof/>
                <w:sz w:val="18"/>
                <w:szCs w:val="18"/>
              </w:rPr>
              <w:t>.</w:t>
            </w:r>
          </w:p>
        </w:tc>
        <w:tc>
          <w:tcPr>
            <w:tcW w:w="3471" w:type="dxa"/>
            <w:tcMar>
              <w:top w:w="28" w:type="dxa"/>
              <w:bottom w:w="28" w:type="dxa"/>
            </w:tcMar>
          </w:tcPr>
          <w:p w14:paraId="12AD6AAD" w14:textId="456413F0" w:rsidR="007E3FB8" w:rsidRPr="00320CFF" w:rsidRDefault="007E3FB8" w:rsidP="00A2007C">
            <w:pPr>
              <w:pStyle w:val="Lijstalinea"/>
              <w:numPr>
                <w:ilvl w:val="0"/>
                <w:numId w:val="9"/>
              </w:numPr>
              <w:spacing w:line="240" w:lineRule="auto"/>
              <w:ind w:left="284" w:hanging="284"/>
              <w:rPr>
                <w:noProof/>
                <w:sz w:val="18"/>
                <w:szCs w:val="18"/>
              </w:rPr>
            </w:pPr>
            <w:r w:rsidRPr="00320CFF">
              <w:rPr>
                <w:noProof/>
                <w:sz w:val="18"/>
                <w:szCs w:val="18"/>
              </w:rPr>
              <w:t>volledige inhoudelijke controle van facturen en een grote variatie in betaalafspraken;</w:t>
            </w:r>
          </w:p>
          <w:p w14:paraId="7F08D0C1" w14:textId="078910F4" w:rsidR="007E3FB8" w:rsidRPr="007E3FB8" w:rsidRDefault="007E3FB8" w:rsidP="00A2007C">
            <w:pPr>
              <w:pStyle w:val="Lijstalinea"/>
              <w:numPr>
                <w:ilvl w:val="0"/>
                <w:numId w:val="9"/>
              </w:numPr>
              <w:spacing w:line="240" w:lineRule="auto"/>
              <w:ind w:left="284" w:hanging="284"/>
              <w:rPr>
                <w:noProof/>
              </w:rPr>
            </w:pPr>
            <w:r w:rsidRPr="00320CFF">
              <w:rPr>
                <w:noProof/>
                <w:sz w:val="18"/>
                <w:szCs w:val="18"/>
              </w:rPr>
              <w:t>beoordelen kredietwaardigheid van klanten;</w:t>
            </w:r>
          </w:p>
          <w:p w14:paraId="3E06B584" w14:textId="21E23B47" w:rsidR="007E3FB8" w:rsidRDefault="007E3FB8" w:rsidP="00A2007C">
            <w:pPr>
              <w:pStyle w:val="Lijstalinea"/>
              <w:numPr>
                <w:ilvl w:val="0"/>
                <w:numId w:val="8"/>
              </w:numPr>
              <w:spacing w:line="240" w:lineRule="auto"/>
              <w:ind w:left="284" w:hanging="284"/>
              <w:rPr>
                <w:noProof/>
              </w:rPr>
            </w:pPr>
            <w:r>
              <w:rPr>
                <w:noProof/>
                <w:sz w:val="18"/>
                <w:szCs w:val="18"/>
              </w:rPr>
              <w:t xml:space="preserve">adviseren </w:t>
            </w:r>
            <w:r w:rsidRPr="00FF3FE2">
              <w:rPr>
                <w:noProof/>
                <w:sz w:val="18"/>
                <w:szCs w:val="18"/>
              </w:rPr>
              <w:t>manager</w:t>
            </w:r>
            <w:r>
              <w:rPr>
                <w:noProof/>
                <w:sz w:val="18"/>
                <w:szCs w:val="18"/>
              </w:rPr>
              <w:t xml:space="preserve"> in geval van oninbare vorderingen en aanmaken en overdragen dossier aan incassobureau.</w:t>
            </w:r>
          </w:p>
        </w:tc>
        <w:tc>
          <w:tcPr>
            <w:tcW w:w="849" w:type="dxa"/>
            <w:vMerge w:val="restart"/>
            <w:tcMar>
              <w:top w:w="28" w:type="dxa"/>
              <w:bottom w:w="28" w:type="dxa"/>
            </w:tcMar>
            <w:textDirection w:val="btLr"/>
            <w:vAlign w:val="center"/>
          </w:tcPr>
          <w:p w14:paraId="610D04CA" w14:textId="77777777" w:rsidR="007E3FB8" w:rsidRPr="006E6401" w:rsidRDefault="007E3FB8" w:rsidP="00DC55D9">
            <w:pPr>
              <w:spacing w:line="240" w:lineRule="auto"/>
              <w:contextualSpacing/>
              <w:jc w:val="center"/>
              <w:rPr>
                <w:sz w:val="18"/>
                <w:szCs w:val="18"/>
              </w:rPr>
            </w:pPr>
            <w:r w:rsidRPr="006E6401">
              <w:rPr>
                <w:sz w:val="18"/>
                <w:szCs w:val="18"/>
              </w:rPr>
              <w:t>Zie functieomschrijving en NOK</w:t>
            </w:r>
          </w:p>
          <w:p w14:paraId="4B7DA32E" w14:textId="312EBB43" w:rsidR="007E3FB8" w:rsidRDefault="000A7DAC" w:rsidP="00DC55D9">
            <w:pPr>
              <w:spacing w:line="240" w:lineRule="auto"/>
              <w:contextualSpacing/>
              <w:jc w:val="center"/>
              <w:rPr>
                <w:noProof/>
              </w:rPr>
            </w:pPr>
            <w:r>
              <w:rPr>
                <w:noProof/>
                <w:sz w:val="18"/>
                <w:szCs w:val="18"/>
              </w:rPr>
              <w:t>chef debiteuren/crediteuren</w:t>
            </w:r>
          </w:p>
        </w:tc>
      </w:tr>
      <w:tr w:rsidR="007E3FB8" w14:paraId="207FE931" w14:textId="77777777" w:rsidTr="00DD3C04">
        <w:tc>
          <w:tcPr>
            <w:tcW w:w="2626" w:type="dxa"/>
            <w:tcMar>
              <w:top w:w="28" w:type="dxa"/>
              <w:bottom w:w="28" w:type="dxa"/>
            </w:tcMar>
          </w:tcPr>
          <w:p w14:paraId="063B5458" w14:textId="38B07A07" w:rsidR="007E3FB8" w:rsidRPr="003D3AC5" w:rsidRDefault="007E3FB8" w:rsidP="007E3FB8">
            <w:pPr>
              <w:spacing w:line="240" w:lineRule="auto"/>
              <w:contextualSpacing/>
              <w:rPr>
                <w:noProof/>
                <w:color w:val="92D050"/>
              </w:rPr>
            </w:pPr>
            <w:r>
              <w:rPr>
                <w:b/>
                <w:iCs/>
                <w:color w:val="92D050"/>
                <w:sz w:val="18"/>
                <w:szCs w:val="21"/>
              </w:rPr>
              <w:t>Contacten andere afdelingen</w:t>
            </w:r>
          </w:p>
        </w:tc>
        <w:tc>
          <w:tcPr>
            <w:tcW w:w="848" w:type="dxa"/>
            <w:gridSpan w:val="2"/>
            <w:vMerge/>
          </w:tcPr>
          <w:p w14:paraId="2D1F5EE7" w14:textId="77777777" w:rsidR="007E3FB8" w:rsidRPr="00CA3062" w:rsidRDefault="007E3FB8" w:rsidP="007E3FB8">
            <w:pPr>
              <w:pStyle w:val="Lijstalinea"/>
              <w:numPr>
                <w:ilvl w:val="0"/>
                <w:numId w:val="8"/>
              </w:numPr>
              <w:spacing w:line="240" w:lineRule="auto"/>
              <w:ind w:left="284" w:hanging="284"/>
              <w:rPr>
                <w:sz w:val="18"/>
                <w:szCs w:val="21"/>
              </w:rPr>
            </w:pPr>
          </w:p>
        </w:tc>
        <w:tc>
          <w:tcPr>
            <w:tcW w:w="3471" w:type="dxa"/>
            <w:gridSpan w:val="3"/>
          </w:tcPr>
          <w:p w14:paraId="5EED30C5" w14:textId="71A8CAAD" w:rsidR="007E3FB8" w:rsidRPr="007E3FB8" w:rsidRDefault="007E3FB8" w:rsidP="00FD0F96">
            <w:pPr>
              <w:pStyle w:val="Lijstalinea"/>
              <w:numPr>
                <w:ilvl w:val="0"/>
                <w:numId w:val="8"/>
              </w:numPr>
              <w:spacing w:line="240" w:lineRule="auto"/>
              <w:ind w:left="284" w:hanging="284"/>
              <w:rPr>
                <w:sz w:val="18"/>
                <w:szCs w:val="21"/>
              </w:rPr>
            </w:pPr>
            <w:r w:rsidRPr="007E3FB8">
              <w:rPr>
                <w:noProof/>
                <w:sz w:val="18"/>
                <w:szCs w:val="18"/>
              </w:rPr>
              <w:t>niet van toepassing.</w:t>
            </w:r>
          </w:p>
        </w:tc>
        <w:tc>
          <w:tcPr>
            <w:tcW w:w="3471" w:type="dxa"/>
            <w:shd w:val="clear" w:color="auto" w:fill="F2F2F2" w:themeFill="background1" w:themeFillShade="F2"/>
          </w:tcPr>
          <w:p w14:paraId="22884BE5" w14:textId="3BD64541" w:rsidR="007E3FB8" w:rsidRPr="00CA3062" w:rsidRDefault="007E3FB8" w:rsidP="00FD0F96">
            <w:pPr>
              <w:pStyle w:val="Lijstalinea"/>
              <w:numPr>
                <w:ilvl w:val="0"/>
                <w:numId w:val="8"/>
              </w:numPr>
              <w:spacing w:line="240" w:lineRule="auto"/>
              <w:ind w:left="284" w:hanging="284"/>
              <w:rPr>
                <w:sz w:val="18"/>
                <w:szCs w:val="21"/>
              </w:rPr>
            </w:pPr>
            <w:r>
              <w:rPr>
                <w:noProof/>
                <w:sz w:val="18"/>
                <w:szCs w:val="18"/>
              </w:rPr>
              <w:t>afstemmen bij afwijkingen en verschillen, waarbij de afstemming weinig inhoudelijk is en er weinig variatie in betaalafspraken is.</w:t>
            </w:r>
          </w:p>
        </w:tc>
        <w:tc>
          <w:tcPr>
            <w:tcW w:w="3471" w:type="dxa"/>
            <w:tcMar>
              <w:top w:w="28" w:type="dxa"/>
              <w:bottom w:w="28" w:type="dxa"/>
            </w:tcMar>
          </w:tcPr>
          <w:p w14:paraId="3E2DC002" w14:textId="77777777" w:rsidR="00FD0F96" w:rsidRDefault="007E3FB8" w:rsidP="00FD0F96">
            <w:pPr>
              <w:pStyle w:val="Lijstalinea"/>
              <w:numPr>
                <w:ilvl w:val="0"/>
                <w:numId w:val="9"/>
              </w:numPr>
              <w:spacing w:line="240" w:lineRule="auto"/>
              <w:ind w:left="284" w:hanging="284"/>
              <w:rPr>
                <w:noProof/>
                <w:sz w:val="18"/>
                <w:szCs w:val="18"/>
              </w:rPr>
            </w:pPr>
            <w:r>
              <w:rPr>
                <w:noProof/>
                <w:sz w:val="18"/>
                <w:szCs w:val="18"/>
              </w:rPr>
              <w:t>inhoudelijk afstemmen met sales, reserveringen, frontoffice bij afwijkingen en verschillen, waarbij er een grote variatie in betaalafspraken is;</w:t>
            </w:r>
          </w:p>
          <w:p w14:paraId="625774A1" w14:textId="70711B35" w:rsidR="007E3FB8" w:rsidRPr="00FD0F96" w:rsidRDefault="00FD0F96" w:rsidP="00FD0F96">
            <w:pPr>
              <w:pStyle w:val="Lijstalinea"/>
              <w:numPr>
                <w:ilvl w:val="0"/>
                <w:numId w:val="9"/>
              </w:numPr>
              <w:spacing w:line="240" w:lineRule="auto"/>
              <w:ind w:left="284" w:hanging="284"/>
              <w:rPr>
                <w:noProof/>
                <w:sz w:val="18"/>
                <w:szCs w:val="18"/>
              </w:rPr>
            </w:pPr>
            <w:r>
              <w:rPr>
                <w:noProof/>
                <w:sz w:val="18"/>
                <w:szCs w:val="18"/>
              </w:rPr>
              <w:t>a</w:t>
            </w:r>
            <w:r w:rsidR="007E3FB8" w:rsidRPr="00FD0F96">
              <w:rPr>
                <w:noProof/>
                <w:sz w:val="18"/>
                <w:szCs w:val="18"/>
              </w:rPr>
              <w:t>dviseren van sales t.a.v. met de klant te maken betaalafspraken;</w:t>
            </w:r>
          </w:p>
        </w:tc>
        <w:tc>
          <w:tcPr>
            <w:tcW w:w="849" w:type="dxa"/>
            <w:vMerge/>
            <w:tcMar>
              <w:top w:w="28" w:type="dxa"/>
              <w:bottom w:w="28" w:type="dxa"/>
            </w:tcMar>
          </w:tcPr>
          <w:p w14:paraId="3A8BCE8E" w14:textId="77777777" w:rsidR="007E3FB8" w:rsidRDefault="007E3FB8" w:rsidP="007E3FB8">
            <w:pPr>
              <w:rPr>
                <w:noProof/>
              </w:rPr>
            </w:pPr>
          </w:p>
        </w:tc>
      </w:tr>
      <w:tr w:rsidR="007E3FB8" w14:paraId="7E7F24BB" w14:textId="77777777" w:rsidTr="00DD3C04">
        <w:tc>
          <w:tcPr>
            <w:tcW w:w="2626" w:type="dxa"/>
            <w:tcMar>
              <w:top w:w="28" w:type="dxa"/>
              <w:bottom w:w="28" w:type="dxa"/>
            </w:tcMar>
          </w:tcPr>
          <w:p w14:paraId="3A5C8B71" w14:textId="0D846C18" w:rsidR="007E3FB8" w:rsidRDefault="007E3FB8" w:rsidP="007E3FB8">
            <w:pPr>
              <w:spacing w:line="240" w:lineRule="auto"/>
              <w:contextualSpacing/>
              <w:rPr>
                <w:b/>
                <w:iCs/>
                <w:color w:val="92D050"/>
                <w:sz w:val="18"/>
                <w:szCs w:val="21"/>
              </w:rPr>
            </w:pPr>
            <w:r>
              <w:rPr>
                <w:b/>
                <w:iCs/>
                <w:color w:val="92D050"/>
                <w:sz w:val="18"/>
                <w:szCs w:val="21"/>
              </w:rPr>
              <w:t>Klantencontact</w:t>
            </w:r>
          </w:p>
        </w:tc>
        <w:tc>
          <w:tcPr>
            <w:tcW w:w="848" w:type="dxa"/>
            <w:gridSpan w:val="2"/>
            <w:vMerge/>
          </w:tcPr>
          <w:p w14:paraId="0B5E341D" w14:textId="77777777" w:rsidR="007E3FB8" w:rsidRPr="00CA3062" w:rsidRDefault="007E3FB8" w:rsidP="007E3FB8">
            <w:pPr>
              <w:pStyle w:val="Lijstalinea"/>
              <w:numPr>
                <w:ilvl w:val="0"/>
                <w:numId w:val="8"/>
              </w:numPr>
              <w:spacing w:line="240" w:lineRule="auto"/>
              <w:ind w:left="284" w:hanging="284"/>
              <w:rPr>
                <w:sz w:val="18"/>
                <w:szCs w:val="21"/>
              </w:rPr>
            </w:pPr>
          </w:p>
        </w:tc>
        <w:tc>
          <w:tcPr>
            <w:tcW w:w="3471" w:type="dxa"/>
            <w:gridSpan w:val="3"/>
          </w:tcPr>
          <w:p w14:paraId="3801E9A5" w14:textId="0F095284" w:rsidR="007E3FB8" w:rsidRDefault="007E3FB8" w:rsidP="00FD0F96">
            <w:pPr>
              <w:pStyle w:val="Lijstalinea"/>
              <w:numPr>
                <w:ilvl w:val="0"/>
                <w:numId w:val="8"/>
              </w:numPr>
              <w:spacing w:line="240" w:lineRule="auto"/>
              <w:ind w:left="284" w:hanging="284"/>
              <w:rPr>
                <w:sz w:val="18"/>
                <w:szCs w:val="21"/>
              </w:rPr>
            </w:pPr>
            <w:r>
              <w:rPr>
                <w:noProof/>
                <w:sz w:val="18"/>
                <w:szCs w:val="18"/>
              </w:rPr>
              <w:t>klantencontact beperkt tot schriftelijke procedures en telefonisch informeren van klanten.</w:t>
            </w:r>
          </w:p>
        </w:tc>
        <w:tc>
          <w:tcPr>
            <w:tcW w:w="3471" w:type="dxa"/>
            <w:shd w:val="clear" w:color="auto" w:fill="F2F2F2" w:themeFill="background1" w:themeFillShade="F2"/>
          </w:tcPr>
          <w:p w14:paraId="3C6D1FC1" w14:textId="262BA4DC" w:rsidR="007E3FB8" w:rsidRDefault="007E3FB8" w:rsidP="00FD0F96">
            <w:pPr>
              <w:pStyle w:val="Lijstalinea"/>
              <w:numPr>
                <w:ilvl w:val="0"/>
                <w:numId w:val="8"/>
              </w:numPr>
              <w:spacing w:line="240" w:lineRule="auto"/>
              <w:ind w:left="284" w:hanging="284"/>
              <w:rPr>
                <w:sz w:val="18"/>
                <w:szCs w:val="21"/>
              </w:rPr>
            </w:pPr>
            <w:r>
              <w:rPr>
                <w:noProof/>
                <w:sz w:val="18"/>
                <w:szCs w:val="18"/>
              </w:rPr>
              <w:t>afhandeling van eerstelijns vragen en bezwaren van klanten.</w:t>
            </w:r>
          </w:p>
        </w:tc>
        <w:tc>
          <w:tcPr>
            <w:tcW w:w="3471" w:type="dxa"/>
            <w:tcMar>
              <w:top w:w="28" w:type="dxa"/>
              <w:bottom w:w="28" w:type="dxa"/>
            </w:tcMar>
          </w:tcPr>
          <w:p w14:paraId="41680D86" w14:textId="0B107B26" w:rsidR="007E3FB8" w:rsidRDefault="007E3FB8" w:rsidP="00FD0F96">
            <w:pPr>
              <w:pStyle w:val="Lijstalinea"/>
              <w:numPr>
                <w:ilvl w:val="0"/>
                <w:numId w:val="8"/>
              </w:numPr>
              <w:spacing w:line="240" w:lineRule="auto"/>
              <w:ind w:left="284" w:hanging="284"/>
              <w:rPr>
                <w:sz w:val="18"/>
                <w:szCs w:val="21"/>
              </w:rPr>
            </w:pPr>
            <w:r>
              <w:rPr>
                <w:noProof/>
                <w:sz w:val="18"/>
                <w:szCs w:val="18"/>
              </w:rPr>
              <w:t>z</w:t>
            </w:r>
            <w:r w:rsidRPr="00CF71E3">
              <w:rPr>
                <w:noProof/>
                <w:sz w:val="18"/>
                <w:szCs w:val="18"/>
              </w:rPr>
              <w:t xml:space="preserve">elfstandig onderhouden van klantcontacten ten behoeve van en gedurende het minnelijke traject. </w:t>
            </w:r>
          </w:p>
        </w:tc>
        <w:tc>
          <w:tcPr>
            <w:tcW w:w="849" w:type="dxa"/>
            <w:vMerge/>
            <w:tcMar>
              <w:top w:w="28" w:type="dxa"/>
              <w:bottom w:w="28" w:type="dxa"/>
            </w:tcMar>
          </w:tcPr>
          <w:p w14:paraId="37F2F3C9" w14:textId="77777777" w:rsidR="007E3FB8" w:rsidRDefault="007E3FB8" w:rsidP="007E3FB8">
            <w:pPr>
              <w:rPr>
                <w:noProof/>
              </w:rPr>
            </w:pPr>
          </w:p>
        </w:tc>
      </w:tr>
      <w:tr w:rsidR="007E3FB8" w14:paraId="07A84EBC" w14:textId="77777777" w:rsidTr="00DD3C04">
        <w:tc>
          <w:tcPr>
            <w:tcW w:w="2626" w:type="dxa"/>
            <w:tcBorders>
              <w:bottom w:val="single" w:sz="4" w:space="0" w:color="auto"/>
            </w:tcBorders>
            <w:tcMar>
              <w:top w:w="28" w:type="dxa"/>
              <w:bottom w:w="28" w:type="dxa"/>
            </w:tcMar>
          </w:tcPr>
          <w:p w14:paraId="6621BAD7" w14:textId="31137932" w:rsidR="007E3FB8" w:rsidRPr="003D3AC5" w:rsidRDefault="00A06998" w:rsidP="007E3FB8">
            <w:pPr>
              <w:spacing w:line="240" w:lineRule="auto"/>
              <w:contextualSpacing/>
              <w:rPr>
                <w:noProof/>
                <w:color w:val="92D050"/>
              </w:rPr>
            </w:pPr>
            <w:r>
              <w:rPr>
                <w:b/>
                <w:iCs/>
                <w:color w:val="92D050"/>
                <w:sz w:val="18"/>
                <w:szCs w:val="21"/>
              </w:rPr>
              <w:t>Kennis</w:t>
            </w:r>
            <w:r w:rsidR="007E3FB8" w:rsidRPr="003D3AC5">
              <w:rPr>
                <w:b/>
                <w:iCs/>
                <w:color w:val="92D050"/>
                <w:sz w:val="18"/>
                <w:szCs w:val="21"/>
              </w:rPr>
              <w:t xml:space="preserve"> en ervaring</w:t>
            </w:r>
          </w:p>
        </w:tc>
        <w:tc>
          <w:tcPr>
            <w:tcW w:w="848" w:type="dxa"/>
            <w:gridSpan w:val="2"/>
            <w:vMerge/>
            <w:tcBorders>
              <w:bottom w:val="single" w:sz="4" w:space="0" w:color="auto"/>
            </w:tcBorders>
          </w:tcPr>
          <w:p w14:paraId="3709B33B" w14:textId="77777777" w:rsidR="007E3FB8" w:rsidRPr="00CA3062" w:rsidRDefault="007E3FB8" w:rsidP="007E3FB8">
            <w:pPr>
              <w:pStyle w:val="Lijstalinea"/>
              <w:numPr>
                <w:ilvl w:val="0"/>
                <w:numId w:val="8"/>
              </w:numPr>
              <w:spacing w:line="240" w:lineRule="auto"/>
              <w:ind w:left="284" w:hanging="284"/>
              <w:rPr>
                <w:sz w:val="18"/>
                <w:szCs w:val="21"/>
              </w:rPr>
            </w:pPr>
          </w:p>
        </w:tc>
        <w:tc>
          <w:tcPr>
            <w:tcW w:w="3471" w:type="dxa"/>
            <w:gridSpan w:val="3"/>
            <w:tcBorders>
              <w:bottom w:val="single" w:sz="4" w:space="0" w:color="auto"/>
            </w:tcBorders>
          </w:tcPr>
          <w:p w14:paraId="2D0DC0BF" w14:textId="540E4BD6" w:rsidR="001D20BE" w:rsidRPr="00320CFF" w:rsidRDefault="007E3FB8" w:rsidP="00FD0F96">
            <w:pPr>
              <w:pStyle w:val="Lijstalinea"/>
              <w:numPr>
                <w:ilvl w:val="0"/>
                <w:numId w:val="8"/>
              </w:numPr>
              <w:spacing w:line="240" w:lineRule="auto"/>
              <w:ind w:left="284" w:hanging="284"/>
              <w:rPr>
                <w:noProof/>
                <w:sz w:val="18"/>
                <w:szCs w:val="18"/>
              </w:rPr>
            </w:pPr>
            <w:r w:rsidRPr="00320CFF">
              <w:rPr>
                <w:noProof/>
                <w:sz w:val="18"/>
                <w:szCs w:val="18"/>
              </w:rPr>
              <w:t xml:space="preserve">mbo </w:t>
            </w:r>
            <w:r w:rsidR="00475849">
              <w:rPr>
                <w:noProof/>
                <w:sz w:val="18"/>
                <w:szCs w:val="18"/>
              </w:rPr>
              <w:t xml:space="preserve">3 </w:t>
            </w:r>
            <w:r w:rsidRPr="00320CFF">
              <w:rPr>
                <w:noProof/>
                <w:sz w:val="18"/>
                <w:szCs w:val="18"/>
              </w:rPr>
              <w:t>werk- en denkniveau;</w:t>
            </w:r>
          </w:p>
          <w:p w14:paraId="3866E13F" w14:textId="2D30219C" w:rsidR="00D95ACB" w:rsidRPr="00320CFF" w:rsidRDefault="007E3FB8" w:rsidP="00FD0F96">
            <w:pPr>
              <w:pStyle w:val="Lijstalinea"/>
              <w:numPr>
                <w:ilvl w:val="0"/>
                <w:numId w:val="8"/>
              </w:numPr>
              <w:spacing w:line="240" w:lineRule="auto"/>
              <w:ind w:left="284" w:hanging="284"/>
              <w:rPr>
                <w:noProof/>
                <w:sz w:val="18"/>
                <w:szCs w:val="18"/>
              </w:rPr>
            </w:pPr>
            <w:r w:rsidRPr="00320CFF">
              <w:rPr>
                <w:noProof/>
                <w:sz w:val="18"/>
                <w:szCs w:val="18"/>
              </w:rPr>
              <w:t>kennis en ervaring met office-applicaties</w:t>
            </w:r>
            <w:r w:rsidR="00D95ACB" w:rsidRPr="00320CFF">
              <w:rPr>
                <w:noProof/>
                <w:sz w:val="18"/>
                <w:szCs w:val="18"/>
              </w:rPr>
              <w:t>;</w:t>
            </w:r>
          </w:p>
          <w:p w14:paraId="273810ED" w14:textId="61C01931" w:rsidR="007E3FB8" w:rsidRPr="002B14C6" w:rsidRDefault="00D95ACB" w:rsidP="00FD0F96">
            <w:pPr>
              <w:pStyle w:val="Lijstalinea"/>
              <w:numPr>
                <w:ilvl w:val="0"/>
                <w:numId w:val="8"/>
              </w:numPr>
              <w:spacing w:line="240" w:lineRule="auto"/>
              <w:ind w:left="284" w:hanging="284"/>
              <w:rPr>
                <w:noProof/>
                <w:sz w:val="18"/>
                <w:szCs w:val="18"/>
              </w:rPr>
            </w:pPr>
            <w:r>
              <w:rPr>
                <w:noProof/>
                <w:sz w:val="18"/>
                <w:szCs w:val="18"/>
              </w:rPr>
              <w:t>basiskennis financiële administratie</w:t>
            </w:r>
            <w:r w:rsidR="001D20BE">
              <w:rPr>
                <w:noProof/>
                <w:sz w:val="18"/>
                <w:szCs w:val="18"/>
              </w:rPr>
              <w:t>.</w:t>
            </w:r>
          </w:p>
          <w:p w14:paraId="77A7C4F4" w14:textId="77777777" w:rsidR="007E3FB8" w:rsidRPr="005D4215" w:rsidRDefault="007E3FB8" w:rsidP="00FD0F96">
            <w:pPr>
              <w:spacing w:line="240" w:lineRule="auto"/>
              <w:ind w:hanging="284"/>
              <w:rPr>
                <w:sz w:val="18"/>
                <w:szCs w:val="21"/>
              </w:rPr>
            </w:pPr>
          </w:p>
        </w:tc>
        <w:tc>
          <w:tcPr>
            <w:tcW w:w="3471" w:type="dxa"/>
            <w:tcBorders>
              <w:bottom w:val="single" w:sz="4" w:space="0" w:color="auto"/>
            </w:tcBorders>
            <w:shd w:val="clear" w:color="auto" w:fill="F2F2F2" w:themeFill="background1" w:themeFillShade="F2"/>
          </w:tcPr>
          <w:p w14:paraId="596D2545" w14:textId="69FC1016" w:rsidR="001D20BE" w:rsidRPr="00320CFF" w:rsidRDefault="001D20BE" w:rsidP="00FD0F96">
            <w:pPr>
              <w:pStyle w:val="Lijstalinea"/>
              <w:numPr>
                <w:ilvl w:val="0"/>
                <w:numId w:val="8"/>
              </w:numPr>
              <w:spacing w:line="240" w:lineRule="auto"/>
              <w:ind w:left="284" w:hanging="284"/>
              <w:rPr>
                <w:noProof/>
                <w:sz w:val="18"/>
                <w:szCs w:val="18"/>
              </w:rPr>
            </w:pPr>
            <w:r w:rsidRPr="00320CFF">
              <w:rPr>
                <w:noProof/>
                <w:sz w:val="18"/>
                <w:szCs w:val="18"/>
              </w:rPr>
              <w:t xml:space="preserve">mbo </w:t>
            </w:r>
            <w:r w:rsidR="00475849">
              <w:rPr>
                <w:noProof/>
                <w:sz w:val="18"/>
                <w:szCs w:val="18"/>
              </w:rPr>
              <w:t xml:space="preserve">3-4 </w:t>
            </w:r>
            <w:r w:rsidRPr="00320CFF">
              <w:rPr>
                <w:noProof/>
                <w:sz w:val="18"/>
                <w:szCs w:val="18"/>
              </w:rPr>
              <w:t>werk- en denkniveau;</w:t>
            </w:r>
          </w:p>
          <w:p w14:paraId="2D568A2B" w14:textId="488416DE" w:rsidR="001D20BE" w:rsidRPr="00320CFF" w:rsidRDefault="001D20BE" w:rsidP="00FD0F96">
            <w:pPr>
              <w:pStyle w:val="Lijstalinea"/>
              <w:numPr>
                <w:ilvl w:val="0"/>
                <w:numId w:val="8"/>
              </w:numPr>
              <w:spacing w:line="240" w:lineRule="auto"/>
              <w:ind w:left="284" w:hanging="284"/>
              <w:rPr>
                <w:noProof/>
                <w:sz w:val="18"/>
                <w:szCs w:val="18"/>
              </w:rPr>
            </w:pPr>
            <w:r w:rsidRPr="00320CFF">
              <w:rPr>
                <w:noProof/>
                <w:sz w:val="18"/>
                <w:szCs w:val="18"/>
              </w:rPr>
              <w:t>kennis en ervaring met office-applicaties.</w:t>
            </w:r>
          </w:p>
          <w:p w14:paraId="1A63E671" w14:textId="03B60BC6" w:rsidR="007E3FB8" w:rsidRPr="00CA3062" w:rsidRDefault="007E3FB8" w:rsidP="00FD0F96">
            <w:pPr>
              <w:pStyle w:val="Lijstalinea"/>
              <w:numPr>
                <w:ilvl w:val="0"/>
                <w:numId w:val="8"/>
              </w:numPr>
              <w:spacing w:line="240" w:lineRule="auto"/>
              <w:ind w:left="284" w:hanging="284"/>
              <w:rPr>
                <w:sz w:val="18"/>
                <w:szCs w:val="21"/>
              </w:rPr>
            </w:pPr>
            <w:r>
              <w:rPr>
                <w:noProof/>
                <w:sz w:val="18"/>
                <w:szCs w:val="18"/>
              </w:rPr>
              <w:t>kennis financiële administratie.</w:t>
            </w:r>
          </w:p>
        </w:tc>
        <w:tc>
          <w:tcPr>
            <w:tcW w:w="3471" w:type="dxa"/>
            <w:tcBorders>
              <w:bottom w:val="single" w:sz="4" w:space="0" w:color="auto"/>
            </w:tcBorders>
            <w:tcMar>
              <w:top w:w="28" w:type="dxa"/>
              <w:bottom w:w="28" w:type="dxa"/>
            </w:tcMar>
          </w:tcPr>
          <w:p w14:paraId="231612BF" w14:textId="4700F7EB" w:rsidR="007E3FB8" w:rsidRPr="00320CFF" w:rsidRDefault="00475849" w:rsidP="00FD0F96">
            <w:pPr>
              <w:pStyle w:val="Lijstalinea"/>
              <w:numPr>
                <w:ilvl w:val="0"/>
                <w:numId w:val="9"/>
              </w:numPr>
              <w:spacing w:line="240" w:lineRule="auto"/>
              <w:ind w:left="284" w:hanging="284"/>
              <w:rPr>
                <w:noProof/>
                <w:sz w:val="18"/>
                <w:szCs w:val="18"/>
              </w:rPr>
            </w:pPr>
            <w:r>
              <w:rPr>
                <w:noProof/>
                <w:sz w:val="18"/>
                <w:szCs w:val="18"/>
              </w:rPr>
              <w:t>m</w:t>
            </w:r>
            <w:r w:rsidR="007E3FB8" w:rsidRPr="00320CFF">
              <w:rPr>
                <w:noProof/>
                <w:sz w:val="18"/>
                <w:szCs w:val="18"/>
              </w:rPr>
              <w:t>bo</w:t>
            </w:r>
            <w:r>
              <w:rPr>
                <w:noProof/>
                <w:sz w:val="18"/>
                <w:szCs w:val="18"/>
              </w:rPr>
              <w:t xml:space="preserve"> 4 </w:t>
            </w:r>
            <w:r w:rsidR="007E3FB8" w:rsidRPr="00320CFF">
              <w:rPr>
                <w:noProof/>
                <w:sz w:val="18"/>
                <w:szCs w:val="18"/>
              </w:rPr>
              <w:t>werk- en denkniveau;</w:t>
            </w:r>
          </w:p>
          <w:p w14:paraId="49E8C5C9" w14:textId="7D088DD3" w:rsidR="007E3FB8" w:rsidRPr="00320CFF" w:rsidRDefault="007E3FB8" w:rsidP="00FD0F96">
            <w:pPr>
              <w:pStyle w:val="Lijstalinea"/>
              <w:numPr>
                <w:ilvl w:val="0"/>
                <w:numId w:val="9"/>
              </w:numPr>
              <w:spacing w:line="240" w:lineRule="auto"/>
              <w:ind w:left="284" w:hanging="284"/>
              <w:rPr>
                <w:noProof/>
                <w:sz w:val="18"/>
                <w:szCs w:val="18"/>
              </w:rPr>
            </w:pPr>
            <w:r w:rsidRPr="00320CFF">
              <w:rPr>
                <w:noProof/>
                <w:sz w:val="18"/>
                <w:szCs w:val="18"/>
              </w:rPr>
              <w:t>enige jaren relevante werkervaring in een soortgelijke functie;</w:t>
            </w:r>
          </w:p>
          <w:p w14:paraId="4A6B600C" w14:textId="29338B53" w:rsidR="007E3FB8" w:rsidRDefault="007E3FB8" w:rsidP="00FD0F96">
            <w:pPr>
              <w:pStyle w:val="Lijstalinea"/>
              <w:numPr>
                <w:ilvl w:val="0"/>
                <w:numId w:val="8"/>
              </w:numPr>
              <w:spacing w:line="240" w:lineRule="auto"/>
              <w:ind w:left="284" w:hanging="284"/>
              <w:rPr>
                <w:noProof/>
              </w:rPr>
            </w:pPr>
            <w:r>
              <w:rPr>
                <w:noProof/>
                <w:sz w:val="18"/>
                <w:szCs w:val="18"/>
              </w:rPr>
              <w:t>enige schriftelijke beheersing van Engels, Duits en/of Frans.</w:t>
            </w:r>
          </w:p>
        </w:tc>
        <w:tc>
          <w:tcPr>
            <w:tcW w:w="849" w:type="dxa"/>
            <w:vMerge/>
            <w:tcBorders>
              <w:bottom w:val="single" w:sz="4" w:space="0" w:color="auto"/>
            </w:tcBorders>
            <w:tcMar>
              <w:top w:w="28" w:type="dxa"/>
              <w:bottom w:w="28" w:type="dxa"/>
            </w:tcMar>
          </w:tcPr>
          <w:p w14:paraId="00DF0AA7" w14:textId="77777777" w:rsidR="007E3FB8" w:rsidRDefault="007E3FB8" w:rsidP="007E3FB8">
            <w:pPr>
              <w:rPr>
                <w:noProof/>
              </w:rPr>
            </w:pPr>
          </w:p>
        </w:tc>
      </w:tr>
      <w:tr w:rsidR="007E3FB8" w14:paraId="2D3FA92B" w14:textId="77777777" w:rsidTr="00320CFF">
        <w:trPr>
          <w:trHeight w:val="18"/>
        </w:trPr>
        <w:tc>
          <w:tcPr>
            <w:tcW w:w="2626" w:type="dxa"/>
            <w:tcBorders>
              <w:bottom w:val="single" w:sz="4" w:space="0" w:color="auto"/>
            </w:tcBorders>
            <w:shd w:val="clear" w:color="auto" w:fill="92D050"/>
            <w:tcMar>
              <w:top w:w="28" w:type="dxa"/>
              <w:bottom w:w="28" w:type="dxa"/>
            </w:tcMar>
          </w:tcPr>
          <w:p w14:paraId="5EE14043" w14:textId="77777777" w:rsidR="007E3FB8" w:rsidRDefault="007E3FB8" w:rsidP="005D4215">
            <w:pPr>
              <w:spacing w:line="240" w:lineRule="auto"/>
              <w:contextualSpacing/>
              <w:rPr>
                <w:noProof/>
              </w:rPr>
            </w:pPr>
            <w:r w:rsidRPr="006925C7">
              <w:rPr>
                <w:b/>
                <w:color w:val="FFFFFF"/>
                <w:sz w:val="18"/>
              </w:rPr>
              <w:t>Functiegroep</w:t>
            </w:r>
          </w:p>
        </w:tc>
        <w:tc>
          <w:tcPr>
            <w:tcW w:w="848" w:type="dxa"/>
            <w:gridSpan w:val="2"/>
            <w:tcBorders>
              <w:bottom w:val="single" w:sz="4" w:space="0" w:color="auto"/>
            </w:tcBorders>
            <w:shd w:val="clear" w:color="auto" w:fill="92D050"/>
          </w:tcPr>
          <w:p w14:paraId="026B3800" w14:textId="4048EC4B" w:rsidR="007E3FB8" w:rsidRPr="00DC55D9" w:rsidRDefault="007E3FB8" w:rsidP="005D4215">
            <w:pPr>
              <w:spacing w:line="240" w:lineRule="auto"/>
              <w:contextualSpacing/>
              <w:jc w:val="center"/>
              <w:rPr>
                <w:b/>
                <w:color w:val="FFFFFF"/>
                <w:sz w:val="18"/>
                <w:szCs w:val="18"/>
              </w:rPr>
            </w:pPr>
          </w:p>
        </w:tc>
        <w:tc>
          <w:tcPr>
            <w:tcW w:w="3471" w:type="dxa"/>
            <w:gridSpan w:val="3"/>
            <w:tcBorders>
              <w:bottom w:val="single" w:sz="4" w:space="0" w:color="auto"/>
            </w:tcBorders>
            <w:shd w:val="clear" w:color="auto" w:fill="92D050"/>
          </w:tcPr>
          <w:p w14:paraId="66501836" w14:textId="47510E1E" w:rsidR="007E3FB8" w:rsidRPr="00DC55D9" w:rsidRDefault="0003582C" w:rsidP="005D4215">
            <w:pPr>
              <w:spacing w:line="240" w:lineRule="auto"/>
              <w:contextualSpacing/>
              <w:jc w:val="center"/>
              <w:rPr>
                <w:b/>
                <w:color w:val="FFFFFF"/>
                <w:sz w:val="18"/>
                <w:szCs w:val="18"/>
              </w:rPr>
            </w:pPr>
            <w:r w:rsidRPr="00DC55D9">
              <w:rPr>
                <w:b/>
                <w:color w:val="FFFFFF"/>
                <w:sz w:val="18"/>
                <w:szCs w:val="18"/>
              </w:rPr>
              <w:t>5</w:t>
            </w:r>
          </w:p>
        </w:tc>
        <w:tc>
          <w:tcPr>
            <w:tcW w:w="3471" w:type="dxa"/>
            <w:tcBorders>
              <w:bottom w:val="single" w:sz="4" w:space="0" w:color="auto"/>
            </w:tcBorders>
            <w:shd w:val="clear" w:color="auto" w:fill="92D050"/>
          </w:tcPr>
          <w:p w14:paraId="29BDC303" w14:textId="54C1750E" w:rsidR="007E3FB8" w:rsidRPr="00DC55D9" w:rsidRDefault="0003582C" w:rsidP="005D4215">
            <w:pPr>
              <w:spacing w:line="240" w:lineRule="auto"/>
              <w:contextualSpacing/>
              <w:jc w:val="center"/>
              <w:rPr>
                <w:b/>
                <w:color w:val="FFFFFF"/>
                <w:sz w:val="18"/>
                <w:szCs w:val="18"/>
              </w:rPr>
            </w:pPr>
            <w:r w:rsidRPr="00DC55D9">
              <w:rPr>
                <w:b/>
                <w:color w:val="FFFFFF"/>
                <w:sz w:val="18"/>
                <w:szCs w:val="18"/>
              </w:rPr>
              <w:t>6 (referentie)</w:t>
            </w:r>
          </w:p>
        </w:tc>
        <w:tc>
          <w:tcPr>
            <w:tcW w:w="3471" w:type="dxa"/>
            <w:tcBorders>
              <w:bottom w:val="single" w:sz="4" w:space="0" w:color="auto"/>
            </w:tcBorders>
            <w:shd w:val="clear" w:color="auto" w:fill="92D050"/>
            <w:tcMar>
              <w:top w:w="28" w:type="dxa"/>
              <w:bottom w:w="28" w:type="dxa"/>
            </w:tcMar>
          </w:tcPr>
          <w:p w14:paraId="6FEF0A13" w14:textId="54A75C0D" w:rsidR="007E3FB8" w:rsidRPr="000A7DAC" w:rsidRDefault="0003582C" w:rsidP="005D4215">
            <w:pPr>
              <w:spacing w:line="240" w:lineRule="auto"/>
              <w:contextualSpacing/>
              <w:jc w:val="center"/>
              <w:rPr>
                <w:b/>
                <w:bCs/>
                <w:noProof/>
                <w:sz w:val="18"/>
                <w:szCs w:val="18"/>
              </w:rPr>
            </w:pPr>
            <w:r w:rsidRPr="000A7DAC">
              <w:rPr>
                <w:b/>
                <w:bCs/>
                <w:noProof/>
                <w:color w:val="FFFFFF" w:themeColor="background1"/>
                <w:sz w:val="18"/>
                <w:szCs w:val="18"/>
              </w:rPr>
              <w:t>7</w:t>
            </w:r>
          </w:p>
        </w:tc>
        <w:tc>
          <w:tcPr>
            <w:tcW w:w="849" w:type="dxa"/>
            <w:tcBorders>
              <w:bottom w:val="single" w:sz="4" w:space="0" w:color="auto"/>
            </w:tcBorders>
            <w:shd w:val="clear" w:color="auto" w:fill="92D050"/>
            <w:tcMar>
              <w:top w:w="28" w:type="dxa"/>
              <w:bottom w:w="28" w:type="dxa"/>
            </w:tcMar>
          </w:tcPr>
          <w:p w14:paraId="1DCBC48A" w14:textId="629BCFC7" w:rsidR="007E3FB8" w:rsidRPr="00DC55D9" w:rsidRDefault="007E3FB8" w:rsidP="005D4215">
            <w:pPr>
              <w:jc w:val="center"/>
              <w:rPr>
                <w:noProof/>
                <w:sz w:val="18"/>
                <w:szCs w:val="18"/>
              </w:rPr>
            </w:pPr>
          </w:p>
        </w:tc>
      </w:tr>
    </w:tbl>
    <w:bookmarkEnd w:id="0"/>
    <w:p w14:paraId="7E499196" w14:textId="683D543D" w:rsidR="00CA3062" w:rsidRPr="00FD0F96" w:rsidRDefault="00514CED">
      <w:pPr>
        <w:rPr>
          <w:sz w:val="18"/>
          <w:szCs w:val="18"/>
        </w:rPr>
      </w:pPr>
      <w:r w:rsidRPr="00FD0F96">
        <w:rPr>
          <w:sz w:val="18"/>
          <w:szCs w:val="18"/>
        </w:rPr>
        <w:t>RF249598/</w:t>
      </w:r>
      <w:r w:rsidR="00FD0F96" w:rsidRPr="00FD0F96">
        <w:rPr>
          <w:sz w:val="18"/>
          <w:szCs w:val="18"/>
        </w:rPr>
        <w:t>cl/sb/</w:t>
      </w:r>
      <w:r w:rsidR="00475849">
        <w:rPr>
          <w:sz w:val="18"/>
          <w:szCs w:val="18"/>
        </w:rPr>
        <w:t>091024</w:t>
      </w:r>
    </w:p>
    <w:sectPr w:rsidR="00CA3062" w:rsidRPr="00FD0F96" w:rsidSect="00A2007C">
      <w:headerReference w:type="default" r:id="rId16"/>
      <w:footerReference w:type="default" r:id="rId17"/>
      <w:pgSz w:w="16838" w:h="11899" w:orient="landscape" w:code="9"/>
      <w:pgMar w:top="1985" w:right="1134" w:bottom="1418" w:left="1134" w:header="709" w:footer="709"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BA10" w14:textId="77777777" w:rsidR="00751634" w:rsidRDefault="00751634">
      <w:pPr>
        <w:spacing w:line="240" w:lineRule="auto"/>
      </w:pPr>
      <w:r>
        <w:separator/>
      </w:r>
    </w:p>
  </w:endnote>
  <w:endnote w:type="continuationSeparator" w:id="0">
    <w:p w14:paraId="30ABD5F4" w14:textId="77777777" w:rsidR="00751634" w:rsidRDefault="00751634">
      <w:pPr>
        <w:spacing w:line="240" w:lineRule="auto"/>
      </w:pPr>
      <w:r>
        <w:continuationSeparator/>
      </w:r>
    </w:p>
  </w:endnote>
  <w:endnote w:type="continuationNotice" w:id="1">
    <w:p w14:paraId="4B6AF3DD" w14:textId="77777777" w:rsidR="00751634" w:rsidRDefault="00751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38FC7B59" w14:textId="77777777" w:rsidR="0033014E" w:rsidRDefault="0033014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914C6BF"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10246A11" w14:textId="77777777" w:rsidR="0033014E" w:rsidRDefault="0033014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5AD6F353" w14:textId="7DF345DC"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9CE" w14:textId="77777777" w:rsidR="00112425" w:rsidRDefault="0011242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77611815"/>
      <w:docPartObj>
        <w:docPartGallery w:val="Page Numbers (Bottom of Page)"/>
        <w:docPartUnique/>
      </w:docPartObj>
    </w:sdtPr>
    <w:sdtEndPr>
      <w:rPr>
        <w:rStyle w:val="Paginanummer"/>
      </w:rPr>
    </w:sdtEndPr>
    <w:sdtContent>
      <w:p w14:paraId="1236F023" w14:textId="77777777" w:rsidR="00A2007C" w:rsidRDefault="00A2007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05AF70CC" w14:textId="35E6886A" w:rsidR="00A2007C" w:rsidRPr="002C1205" w:rsidRDefault="00A2007C"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noProof/>
        <w:color w:val="262626"/>
        <w:sz w:val="16"/>
      </w:rPr>
      <w:t>1</w:t>
    </w:r>
    <w:r>
      <w:rPr>
        <w:color w:val="26262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258C" w14:textId="77777777" w:rsidR="00751634" w:rsidRDefault="00751634">
      <w:pPr>
        <w:spacing w:line="240" w:lineRule="auto"/>
      </w:pPr>
      <w:r>
        <w:separator/>
      </w:r>
    </w:p>
  </w:footnote>
  <w:footnote w:type="continuationSeparator" w:id="0">
    <w:p w14:paraId="5251F202" w14:textId="77777777" w:rsidR="00751634" w:rsidRDefault="00751634">
      <w:pPr>
        <w:spacing w:line="240" w:lineRule="auto"/>
      </w:pPr>
      <w:r>
        <w:continuationSeparator/>
      </w:r>
    </w:p>
  </w:footnote>
  <w:footnote w:type="continuationNotice" w:id="1">
    <w:p w14:paraId="11DF043D" w14:textId="77777777" w:rsidR="00751634" w:rsidRDefault="007516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8D03" w14:textId="77777777" w:rsidR="00112425" w:rsidRDefault="00112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C537" w14:textId="0CE41CD1"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B66" w14:textId="77777777" w:rsidR="00112425" w:rsidRDefault="0011242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E131" w14:textId="77777777" w:rsidR="00FE6541" w:rsidRPr="00B768A8" w:rsidRDefault="00FE6541" w:rsidP="001B1271">
    <w:pPr>
      <w:pStyle w:val="Koptekst"/>
      <w:tabs>
        <w:tab w:val="clear" w:pos="4153"/>
        <w:tab w:val="clear" w:pos="8306"/>
        <w:tab w:val="center" w:pos="5245"/>
        <w:tab w:val="right" w:pos="9639"/>
      </w:tabs>
      <w:ind w:right="-292"/>
      <w:jc w:val="left"/>
      <w:rPr>
        <w:color w:val="262626"/>
      </w:rPr>
    </w:pPr>
    <w:r>
      <w:rPr>
        <w:noProof/>
      </w:rPr>
      <w:drawing>
        <wp:anchor distT="0" distB="0" distL="114300" distR="114300" simplePos="0" relativeHeight="251658241" behindDoc="0" locked="0" layoutInCell="1" allowOverlap="1" wp14:anchorId="3B4DC7CC" wp14:editId="31F6A98A">
          <wp:simplePos x="0" y="0"/>
          <wp:positionH relativeFrom="column">
            <wp:posOffset>-720090</wp:posOffset>
          </wp:positionH>
          <wp:positionV relativeFrom="paragraph">
            <wp:posOffset>-435610</wp:posOffset>
          </wp:positionV>
          <wp:extent cx="1099820" cy="863600"/>
          <wp:effectExtent l="0" t="0" r="5080" b="0"/>
          <wp:wrapNone/>
          <wp:docPr id="23626687" name="Afbeelding 23626687" descr="Afbeelding met tekst, Lettertype, logo, wi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logo, wit&#10;&#10;Automatisch gegenereerde beschrijving"/>
                  <pic:cNvPicPr>
                    <a:picLocks/>
                  </pic:cNvPicPr>
                </pic:nvPicPr>
                <pic:blipFill rotWithShape="1">
                  <a:blip r:embed="rId1">
                    <a:extLst>
                      <a:ext uri="{28A0092B-C50C-407E-A947-70E740481C1C}">
                        <a14:useLocalDpi xmlns:a14="http://schemas.microsoft.com/office/drawing/2010/main" val="0"/>
                      </a:ext>
                    </a:extLst>
                  </a:blip>
                  <a:srcRect l="-27353"/>
                  <a:stretch/>
                </pic:blipFill>
                <pic:spPr bwMode="auto">
                  <a:xfrm>
                    <a:off x="0" y="0"/>
                    <a:ext cx="109982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036D4C"/>
    <w:multiLevelType w:val="hybridMultilevel"/>
    <w:tmpl w:val="7E786464"/>
    <w:lvl w:ilvl="0" w:tplc="D492815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1"/>
  </w:num>
  <w:num w:numId="3" w16cid:durableId="1889024391">
    <w:abstractNumId w:val="5"/>
  </w:num>
  <w:num w:numId="4" w16cid:durableId="265819917">
    <w:abstractNumId w:val="8"/>
  </w:num>
  <w:num w:numId="5" w16cid:durableId="1136871720">
    <w:abstractNumId w:val="3"/>
  </w:num>
  <w:num w:numId="6" w16cid:durableId="2112315167">
    <w:abstractNumId w:val="2"/>
  </w:num>
  <w:num w:numId="7" w16cid:durableId="1202018839">
    <w:abstractNumId w:val="7"/>
  </w:num>
  <w:num w:numId="8" w16cid:durableId="825632822">
    <w:abstractNumId w:val="4"/>
  </w:num>
  <w:num w:numId="9" w16cid:durableId="1024983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1C"/>
    <w:rsid w:val="00003CF4"/>
    <w:rsid w:val="00020373"/>
    <w:rsid w:val="000268BF"/>
    <w:rsid w:val="00031D25"/>
    <w:rsid w:val="000321B8"/>
    <w:rsid w:val="0003582C"/>
    <w:rsid w:val="00037483"/>
    <w:rsid w:val="00042224"/>
    <w:rsid w:val="000465ED"/>
    <w:rsid w:val="00047732"/>
    <w:rsid w:val="00065E17"/>
    <w:rsid w:val="000755DC"/>
    <w:rsid w:val="000765F8"/>
    <w:rsid w:val="0007737D"/>
    <w:rsid w:val="00094DD4"/>
    <w:rsid w:val="000A7DAC"/>
    <w:rsid w:val="000B3D79"/>
    <w:rsid w:val="000C455B"/>
    <w:rsid w:val="000D190B"/>
    <w:rsid w:val="000D454F"/>
    <w:rsid w:val="000E506C"/>
    <w:rsid w:val="001004B3"/>
    <w:rsid w:val="00104088"/>
    <w:rsid w:val="0010636E"/>
    <w:rsid w:val="00107930"/>
    <w:rsid w:val="00110CA4"/>
    <w:rsid w:val="00112425"/>
    <w:rsid w:val="001164CD"/>
    <w:rsid w:val="001468B4"/>
    <w:rsid w:val="00153A35"/>
    <w:rsid w:val="00157890"/>
    <w:rsid w:val="001631E0"/>
    <w:rsid w:val="00172383"/>
    <w:rsid w:val="00174CE5"/>
    <w:rsid w:val="00174F86"/>
    <w:rsid w:val="00185145"/>
    <w:rsid w:val="00187281"/>
    <w:rsid w:val="00195667"/>
    <w:rsid w:val="001A4D7D"/>
    <w:rsid w:val="001B1271"/>
    <w:rsid w:val="001B20A4"/>
    <w:rsid w:val="001C36B3"/>
    <w:rsid w:val="001D20BE"/>
    <w:rsid w:val="00211271"/>
    <w:rsid w:val="0022582C"/>
    <w:rsid w:val="00231AF0"/>
    <w:rsid w:val="00242438"/>
    <w:rsid w:val="0024419B"/>
    <w:rsid w:val="00246BEA"/>
    <w:rsid w:val="00260547"/>
    <w:rsid w:val="00263D1E"/>
    <w:rsid w:val="00265A3E"/>
    <w:rsid w:val="002759FE"/>
    <w:rsid w:val="00284741"/>
    <w:rsid w:val="0028758C"/>
    <w:rsid w:val="002A28F8"/>
    <w:rsid w:val="002E1171"/>
    <w:rsid w:val="002F72F3"/>
    <w:rsid w:val="00300ED6"/>
    <w:rsid w:val="0031794D"/>
    <w:rsid w:val="00317E71"/>
    <w:rsid w:val="00320CFF"/>
    <w:rsid w:val="00321C21"/>
    <w:rsid w:val="0033014E"/>
    <w:rsid w:val="00333089"/>
    <w:rsid w:val="00335B7F"/>
    <w:rsid w:val="00347D9C"/>
    <w:rsid w:val="00360022"/>
    <w:rsid w:val="0036317C"/>
    <w:rsid w:val="0036436E"/>
    <w:rsid w:val="00372C82"/>
    <w:rsid w:val="003778E6"/>
    <w:rsid w:val="00392E2D"/>
    <w:rsid w:val="003A37EC"/>
    <w:rsid w:val="003A634B"/>
    <w:rsid w:val="003B7679"/>
    <w:rsid w:val="003C1D27"/>
    <w:rsid w:val="003C3694"/>
    <w:rsid w:val="003D0812"/>
    <w:rsid w:val="003D3AC5"/>
    <w:rsid w:val="003E412D"/>
    <w:rsid w:val="003F3D5F"/>
    <w:rsid w:val="00415F15"/>
    <w:rsid w:val="00422303"/>
    <w:rsid w:val="00424492"/>
    <w:rsid w:val="00425781"/>
    <w:rsid w:val="00453F12"/>
    <w:rsid w:val="00474E2C"/>
    <w:rsid w:val="00475849"/>
    <w:rsid w:val="00480712"/>
    <w:rsid w:val="004B72C3"/>
    <w:rsid w:val="004D6D6F"/>
    <w:rsid w:val="004F1D38"/>
    <w:rsid w:val="00502FDB"/>
    <w:rsid w:val="00514CED"/>
    <w:rsid w:val="00545A61"/>
    <w:rsid w:val="00567991"/>
    <w:rsid w:val="005713C6"/>
    <w:rsid w:val="00581483"/>
    <w:rsid w:val="00581F01"/>
    <w:rsid w:val="00584E9D"/>
    <w:rsid w:val="00592B0C"/>
    <w:rsid w:val="005A1E9B"/>
    <w:rsid w:val="005B4774"/>
    <w:rsid w:val="005C0113"/>
    <w:rsid w:val="005D4215"/>
    <w:rsid w:val="005E3A4D"/>
    <w:rsid w:val="00600F17"/>
    <w:rsid w:val="00601C5A"/>
    <w:rsid w:val="00611821"/>
    <w:rsid w:val="00623B7C"/>
    <w:rsid w:val="00624033"/>
    <w:rsid w:val="00625F38"/>
    <w:rsid w:val="00627773"/>
    <w:rsid w:val="0063112D"/>
    <w:rsid w:val="006709B7"/>
    <w:rsid w:val="00672C9B"/>
    <w:rsid w:val="0067328E"/>
    <w:rsid w:val="006904ED"/>
    <w:rsid w:val="00697781"/>
    <w:rsid w:val="00697E4B"/>
    <w:rsid w:val="006A3052"/>
    <w:rsid w:val="006C2920"/>
    <w:rsid w:val="006C7C0F"/>
    <w:rsid w:val="006D1BF2"/>
    <w:rsid w:val="006E6401"/>
    <w:rsid w:val="007126EE"/>
    <w:rsid w:val="00716E93"/>
    <w:rsid w:val="00721A71"/>
    <w:rsid w:val="00731C52"/>
    <w:rsid w:val="00751634"/>
    <w:rsid w:val="007550D5"/>
    <w:rsid w:val="00756A90"/>
    <w:rsid w:val="00764241"/>
    <w:rsid w:val="0077168B"/>
    <w:rsid w:val="00771755"/>
    <w:rsid w:val="00783270"/>
    <w:rsid w:val="007A000E"/>
    <w:rsid w:val="007B164F"/>
    <w:rsid w:val="007D0E24"/>
    <w:rsid w:val="007D3B04"/>
    <w:rsid w:val="007D65E3"/>
    <w:rsid w:val="007E3FB8"/>
    <w:rsid w:val="007E77EE"/>
    <w:rsid w:val="007F2C75"/>
    <w:rsid w:val="007F77AE"/>
    <w:rsid w:val="00805781"/>
    <w:rsid w:val="00820D61"/>
    <w:rsid w:val="00823011"/>
    <w:rsid w:val="00825147"/>
    <w:rsid w:val="008278FF"/>
    <w:rsid w:val="008601ED"/>
    <w:rsid w:val="0086423C"/>
    <w:rsid w:val="008835C5"/>
    <w:rsid w:val="00884F91"/>
    <w:rsid w:val="008864BA"/>
    <w:rsid w:val="00886DC7"/>
    <w:rsid w:val="00887249"/>
    <w:rsid w:val="00891CCE"/>
    <w:rsid w:val="0089261F"/>
    <w:rsid w:val="00895B33"/>
    <w:rsid w:val="008A3B95"/>
    <w:rsid w:val="008B574C"/>
    <w:rsid w:val="008D0C93"/>
    <w:rsid w:val="008D1EDD"/>
    <w:rsid w:val="008D2C8F"/>
    <w:rsid w:val="0090383F"/>
    <w:rsid w:val="00905A8B"/>
    <w:rsid w:val="009122E0"/>
    <w:rsid w:val="00912443"/>
    <w:rsid w:val="009139F3"/>
    <w:rsid w:val="00922870"/>
    <w:rsid w:val="00923DA2"/>
    <w:rsid w:val="00926657"/>
    <w:rsid w:val="00930859"/>
    <w:rsid w:val="00932028"/>
    <w:rsid w:val="009336B4"/>
    <w:rsid w:val="0093554C"/>
    <w:rsid w:val="00935A3E"/>
    <w:rsid w:val="00941F1A"/>
    <w:rsid w:val="009519C2"/>
    <w:rsid w:val="009520B9"/>
    <w:rsid w:val="00973738"/>
    <w:rsid w:val="00990EBB"/>
    <w:rsid w:val="009B1485"/>
    <w:rsid w:val="009C01F2"/>
    <w:rsid w:val="009C33D6"/>
    <w:rsid w:val="009C40B9"/>
    <w:rsid w:val="009F3B3C"/>
    <w:rsid w:val="00A06316"/>
    <w:rsid w:val="00A06998"/>
    <w:rsid w:val="00A11A5D"/>
    <w:rsid w:val="00A11D20"/>
    <w:rsid w:val="00A12008"/>
    <w:rsid w:val="00A2007C"/>
    <w:rsid w:val="00A33F0A"/>
    <w:rsid w:val="00A458B5"/>
    <w:rsid w:val="00A63BCB"/>
    <w:rsid w:val="00A66344"/>
    <w:rsid w:val="00A66915"/>
    <w:rsid w:val="00A71EAD"/>
    <w:rsid w:val="00A801C4"/>
    <w:rsid w:val="00A8218F"/>
    <w:rsid w:val="00A91584"/>
    <w:rsid w:val="00A94466"/>
    <w:rsid w:val="00A97DB2"/>
    <w:rsid w:val="00AA0A3E"/>
    <w:rsid w:val="00AA7698"/>
    <w:rsid w:val="00AB7C80"/>
    <w:rsid w:val="00AE00AD"/>
    <w:rsid w:val="00AE35E6"/>
    <w:rsid w:val="00AE625C"/>
    <w:rsid w:val="00AF55A0"/>
    <w:rsid w:val="00B01DC5"/>
    <w:rsid w:val="00B14AD4"/>
    <w:rsid w:val="00B3399C"/>
    <w:rsid w:val="00B37748"/>
    <w:rsid w:val="00B63F8C"/>
    <w:rsid w:val="00B732A4"/>
    <w:rsid w:val="00B97AFD"/>
    <w:rsid w:val="00BA23CC"/>
    <w:rsid w:val="00BA348C"/>
    <w:rsid w:val="00BC16C7"/>
    <w:rsid w:val="00BE4A71"/>
    <w:rsid w:val="00BF4379"/>
    <w:rsid w:val="00BF7BE5"/>
    <w:rsid w:val="00C04A60"/>
    <w:rsid w:val="00C05CD7"/>
    <w:rsid w:val="00C1402C"/>
    <w:rsid w:val="00C2001B"/>
    <w:rsid w:val="00C564E8"/>
    <w:rsid w:val="00C70DEB"/>
    <w:rsid w:val="00C73B77"/>
    <w:rsid w:val="00C8696B"/>
    <w:rsid w:val="00C8701C"/>
    <w:rsid w:val="00C90807"/>
    <w:rsid w:val="00C94AE7"/>
    <w:rsid w:val="00CA3062"/>
    <w:rsid w:val="00CB47F3"/>
    <w:rsid w:val="00CB529B"/>
    <w:rsid w:val="00CD2355"/>
    <w:rsid w:val="00CD5FC5"/>
    <w:rsid w:val="00D00151"/>
    <w:rsid w:val="00D039CE"/>
    <w:rsid w:val="00D042C2"/>
    <w:rsid w:val="00D14BF6"/>
    <w:rsid w:val="00D16BE6"/>
    <w:rsid w:val="00D177A8"/>
    <w:rsid w:val="00D243C7"/>
    <w:rsid w:val="00D25627"/>
    <w:rsid w:val="00D260A9"/>
    <w:rsid w:val="00D306EC"/>
    <w:rsid w:val="00D53EC7"/>
    <w:rsid w:val="00D5679E"/>
    <w:rsid w:val="00D570CE"/>
    <w:rsid w:val="00D62134"/>
    <w:rsid w:val="00D64963"/>
    <w:rsid w:val="00D67A6E"/>
    <w:rsid w:val="00D9172A"/>
    <w:rsid w:val="00D95ACB"/>
    <w:rsid w:val="00DA5975"/>
    <w:rsid w:val="00DA72FE"/>
    <w:rsid w:val="00DB2D74"/>
    <w:rsid w:val="00DB5920"/>
    <w:rsid w:val="00DB7456"/>
    <w:rsid w:val="00DC178E"/>
    <w:rsid w:val="00DC55D9"/>
    <w:rsid w:val="00DD17A8"/>
    <w:rsid w:val="00DD1952"/>
    <w:rsid w:val="00DD342B"/>
    <w:rsid w:val="00DD3825"/>
    <w:rsid w:val="00DD3C04"/>
    <w:rsid w:val="00DD42EE"/>
    <w:rsid w:val="00DF1449"/>
    <w:rsid w:val="00DF615E"/>
    <w:rsid w:val="00E010E2"/>
    <w:rsid w:val="00E02A4F"/>
    <w:rsid w:val="00E06E76"/>
    <w:rsid w:val="00E077F6"/>
    <w:rsid w:val="00E12ADC"/>
    <w:rsid w:val="00E153A8"/>
    <w:rsid w:val="00E30632"/>
    <w:rsid w:val="00E41027"/>
    <w:rsid w:val="00E4477C"/>
    <w:rsid w:val="00E51ED1"/>
    <w:rsid w:val="00E56672"/>
    <w:rsid w:val="00E6301D"/>
    <w:rsid w:val="00E70419"/>
    <w:rsid w:val="00E716D1"/>
    <w:rsid w:val="00E743C2"/>
    <w:rsid w:val="00E7789A"/>
    <w:rsid w:val="00E90ABF"/>
    <w:rsid w:val="00E93409"/>
    <w:rsid w:val="00E97B69"/>
    <w:rsid w:val="00EB23FF"/>
    <w:rsid w:val="00EB687D"/>
    <w:rsid w:val="00EC1C0B"/>
    <w:rsid w:val="00ED2659"/>
    <w:rsid w:val="00ED60FD"/>
    <w:rsid w:val="00EE293B"/>
    <w:rsid w:val="00F10759"/>
    <w:rsid w:val="00F13CD0"/>
    <w:rsid w:val="00F21222"/>
    <w:rsid w:val="00F250D5"/>
    <w:rsid w:val="00F27498"/>
    <w:rsid w:val="00F36B33"/>
    <w:rsid w:val="00F4179F"/>
    <w:rsid w:val="00F42C61"/>
    <w:rsid w:val="00F525FE"/>
    <w:rsid w:val="00F52DBA"/>
    <w:rsid w:val="00F627E1"/>
    <w:rsid w:val="00F64866"/>
    <w:rsid w:val="00F666B2"/>
    <w:rsid w:val="00F77305"/>
    <w:rsid w:val="00F92691"/>
    <w:rsid w:val="00F95EA8"/>
    <w:rsid w:val="00FA678F"/>
    <w:rsid w:val="00FB122C"/>
    <w:rsid w:val="00FB63DF"/>
    <w:rsid w:val="00FB6EEF"/>
    <w:rsid w:val="00FC07E2"/>
    <w:rsid w:val="00FC07EB"/>
    <w:rsid w:val="00FD0187"/>
    <w:rsid w:val="00FD0F96"/>
    <w:rsid w:val="00FD5ED4"/>
    <w:rsid w:val="00FE6154"/>
    <w:rsid w:val="00FE6541"/>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96F11B"/>
  <w15:chartTrackingRefBased/>
  <w15:docId w15:val="{59131605-073D-3942-8D63-79431B76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qFormat/>
    <w:rsid w:val="00DD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2.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6EB05-C4EC-4475-91AC-B1C429E890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522</Words>
  <Characters>3538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Caroline Lucas</dc:creator>
  <cp:keywords/>
  <cp:lastModifiedBy>Saskia Boertien</cp:lastModifiedBy>
  <cp:revision>30</cp:revision>
  <cp:lastPrinted>2024-06-18T15:11:00Z</cp:lastPrinted>
  <dcterms:created xsi:type="dcterms:W3CDTF">2024-07-24T07:54:00Z</dcterms:created>
  <dcterms:modified xsi:type="dcterms:W3CDTF">2024-11-20T12:35:00Z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