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79EF289A">
                <wp:simplePos x="0" y="0"/>
                <wp:positionH relativeFrom="column">
                  <wp:posOffset>-15213</wp:posOffset>
                </wp:positionH>
                <wp:positionV relativeFrom="paragraph">
                  <wp:posOffset>129459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90C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90CF4F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167239" y="377202"/>
                            <a:ext cx="5037478" cy="445626"/>
                          </a:xfrm>
                          <a:prstGeom prst="rect">
                            <a:avLst/>
                          </a:prstGeom>
                          <a:solidFill>
                            <a:srgbClr val="90CF4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1127143D" w:rsidR="00D00151" w:rsidRPr="00E153A8" w:rsidRDefault="003421B0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Medewerker crediteurenadministratie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2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" fillcolor="#90cf4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" fillcolor="#90cf4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1672;top:3772;width:5037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" fillcolor="#90cf4f" stroked="f" strokeweight=".5pt">
                  <v:textbox>
                    <w:txbxContent>
                      <w:p w14:paraId="43F6AFE2" w14:textId="1127143D" w:rsidR="00D00151" w:rsidRPr="00E153A8" w:rsidRDefault="003421B0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Medewerker crediteurenadministratie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ACDF2AB" w14:textId="77777777" w:rsidR="008B0E61" w:rsidRPr="00741ED1" w:rsidRDefault="008B0E61" w:rsidP="008B0E61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741ED1">
              <w:rPr>
                <w:b/>
                <w:bCs/>
                <w:iCs/>
                <w:color w:val="262626"/>
                <w:sz w:val="16"/>
              </w:rPr>
              <w:t>Analytisch:</w:t>
            </w:r>
          </w:p>
          <w:p w14:paraId="09E36D68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staat objectief en nuchter tegenover allerlei zaken;</w:t>
            </w:r>
          </w:p>
          <w:p w14:paraId="74E8D5BE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heeft een scherp oordeelsvermogen;</w:t>
            </w:r>
          </w:p>
          <w:p w14:paraId="235CC53F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onderscheidt hoofd- en bijzaken in aangereikte informatie;</w:t>
            </w:r>
          </w:p>
          <w:p w14:paraId="18097439" w14:textId="2A10203B" w:rsidR="00BD2AAE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redeneert logisch en consistent.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5FE2FBBA" w14:textId="77777777" w:rsidR="008B0E61" w:rsidRPr="00741ED1" w:rsidRDefault="008B0E61" w:rsidP="008B0E61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741ED1">
              <w:rPr>
                <w:b/>
                <w:bCs/>
                <w:iCs/>
                <w:color w:val="262626"/>
                <w:sz w:val="16"/>
              </w:rPr>
              <w:t>Betrouwbaar / Integer:</w:t>
            </w:r>
          </w:p>
          <w:p w14:paraId="21E009AE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gaat zorgvuldig om met vertrouwelijke informatie;</w:t>
            </w:r>
          </w:p>
          <w:p w14:paraId="2AE01C66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komt beloften en afspraken na, staat voor wat hij zegt;</w:t>
            </w:r>
          </w:p>
          <w:p w14:paraId="144DCD6A" w14:textId="184EEEF8" w:rsidR="00BD2AAE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heeft de moed achter zijn daden te staan.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CB83ECE" w14:textId="77777777" w:rsidR="008B0E61" w:rsidRPr="00741ED1" w:rsidRDefault="008B0E61" w:rsidP="008B0E61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741ED1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634E33F5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is bereid om alles aan te pakken;</w:t>
            </w:r>
          </w:p>
          <w:p w14:paraId="4A2C3703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is niet tevreden met een gemiddelde prestatie;</w:t>
            </w:r>
          </w:p>
          <w:p w14:paraId="1D475558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stopt pas als het werk klaar is;</w:t>
            </w:r>
          </w:p>
          <w:p w14:paraId="0FC09864" w14:textId="54A1CFFC" w:rsidR="00BD2AAE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BD2AAE" w14:paraId="1E184B7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FF1133F" w14:textId="77777777" w:rsidR="008B0E61" w:rsidRPr="00741ED1" w:rsidRDefault="008B0E61" w:rsidP="008B0E61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741ED1">
              <w:rPr>
                <w:b/>
                <w:bCs/>
                <w:iCs/>
                <w:color w:val="262626"/>
                <w:sz w:val="16"/>
              </w:rPr>
              <w:t>Oog voor detail / Nauwgezet:</w:t>
            </w:r>
          </w:p>
          <w:p w14:paraId="3E7C5072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is grondig, controleert de eigen werkzaamheden;</w:t>
            </w:r>
          </w:p>
          <w:p w14:paraId="42270938" w14:textId="77777777" w:rsidR="008B0E61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65E505B1" w14:textId="65F5496C" w:rsidR="00BD2AAE" w:rsidRPr="00741ED1" w:rsidRDefault="008B0E61" w:rsidP="008B0E6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41ED1">
              <w:rPr>
                <w:iCs/>
                <w:sz w:val="16"/>
              </w:rPr>
              <w:t>-</w:t>
            </w:r>
            <w:r w:rsidRPr="00741ED1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0F3E0B0E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90C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" fillcolor="#90cf4f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3FDB" w14:textId="77777777" w:rsidR="00E822AE" w:rsidRDefault="00E822AE" w:rsidP="004035D2">
      <w:pPr>
        <w:spacing w:line="240" w:lineRule="auto"/>
      </w:pPr>
      <w:r>
        <w:separator/>
      </w:r>
    </w:p>
  </w:endnote>
  <w:endnote w:type="continuationSeparator" w:id="0">
    <w:p w14:paraId="048C5AB0" w14:textId="77777777" w:rsidR="00E822AE" w:rsidRDefault="00E822AE" w:rsidP="004035D2">
      <w:pPr>
        <w:spacing w:line="240" w:lineRule="auto"/>
      </w:pPr>
      <w:r>
        <w:continuationSeparator/>
      </w:r>
    </w:p>
  </w:endnote>
  <w:endnote w:type="continuationNotice" w:id="1">
    <w:p w14:paraId="1D4393FB" w14:textId="77777777" w:rsidR="00E822AE" w:rsidRDefault="00E822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789E3B1B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5BFF" w14:textId="77777777" w:rsidR="00E822AE" w:rsidRDefault="00E822AE" w:rsidP="004035D2">
      <w:pPr>
        <w:spacing w:line="240" w:lineRule="auto"/>
      </w:pPr>
      <w:r>
        <w:separator/>
      </w:r>
    </w:p>
  </w:footnote>
  <w:footnote w:type="continuationSeparator" w:id="0">
    <w:p w14:paraId="7A5B92D8" w14:textId="77777777" w:rsidR="00E822AE" w:rsidRDefault="00E822AE" w:rsidP="004035D2">
      <w:pPr>
        <w:spacing w:line="240" w:lineRule="auto"/>
      </w:pPr>
      <w:r>
        <w:continuationSeparator/>
      </w:r>
    </w:p>
  </w:footnote>
  <w:footnote w:type="continuationNotice" w:id="1">
    <w:p w14:paraId="521A16A9" w14:textId="77777777" w:rsidR="00E822AE" w:rsidRDefault="00E822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7E713853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86D74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2774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21B0"/>
    <w:rsid w:val="0034374C"/>
    <w:rsid w:val="003465D9"/>
    <w:rsid w:val="00347D9C"/>
    <w:rsid w:val="00360022"/>
    <w:rsid w:val="00361CB4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3895"/>
    <w:rsid w:val="004460E0"/>
    <w:rsid w:val="0044696D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4F5C61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2D7F"/>
    <w:rsid w:val="0072539A"/>
    <w:rsid w:val="00731C52"/>
    <w:rsid w:val="00741ED1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11E5C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0E61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4265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D7E67"/>
    <w:rsid w:val="00BE0134"/>
    <w:rsid w:val="00BE2510"/>
    <w:rsid w:val="00BE30FA"/>
    <w:rsid w:val="00BE4A71"/>
    <w:rsid w:val="00BF1DF9"/>
    <w:rsid w:val="00BF2CAA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059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22AE"/>
    <w:rsid w:val="00E8299D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2024-10-17T09:44:00Z</dcterms:created>
  <dcterms:modified xsi:type="dcterms:W3CDTF">2024-11-20T09:10:00Z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